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5E698" w14:textId="77777777" w:rsidR="00E126EC" w:rsidRPr="00A62C3B" w:rsidRDefault="00C83895" w:rsidP="00C83895">
      <w:pPr>
        <w:pStyle w:val="Heading2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Discipline</w:t>
      </w:r>
      <w:r w:rsidRPr="00A62C3B">
        <w:rPr>
          <w:rFonts w:ascii="Arial" w:hAnsi="Arial" w:cs="Arial"/>
          <w:sz w:val="22"/>
          <w:szCs w:val="22"/>
        </w:rPr>
        <w:t xml:space="preserve"> </w:t>
      </w:r>
      <w:r w:rsidR="00E126EC" w:rsidRPr="00A62C3B">
        <w:rPr>
          <w:rFonts w:ascii="Arial" w:hAnsi="Arial" w:cs="Arial"/>
          <w:sz w:val="22"/>
          <w:szCs w:val="22"/>
        </w:rPr>
        <w:t>Boards</w:t>
      </w:r>
    </w:p>
    <w:p w14:paraId="685C1B80" w14:textId="77777777" w:rsidR="00E126EC" w:rsidRDefault="00E126EC" w:rsidP="00E126EC">
      <w:pPr>
        <w:pStyle w:val="NormalWeb1"/>
        <w:spacing w:before="200" w:beforeAutospacing="0" w:after="0" w:afterAutospacing="0"/>
        <w:ind w:left="709"/>
        <w:jc w:val="both"/>
        <w:rPr>
          <w:sz w:val="22"/>
          <w:szCs w:val="22"/>
        </w:rPr>
      </w:pPr>
      <w:r w:rsidRPr="00A62C3B">
        <w:rPr>
          <w:sz w:val="22"/>
          <w:szCs w:val="22"/>
        </w:rPr>
        <w:t>Each</w:t>
      </w:r>
      <w:r w:rsidR="00C83895">
        <w:rPr>
          <w:sz w:val="22"/>
          <w:szCs w:val="22"/>
        </w:rPr>
        <w:t xml:space="preserve"> Academic Discipline</w:t>
      </w:r>
      <w:r w:rsidRPr="00A62C3B">
        <w:rPr>
          <w:sz w:val="22"/>
          <w:szCs w:val="22"/>
        </w:rPr>
        <w:t xml:space="preserve"> has a</w:t>
      </w:r>
      <w:r w:rsidR="00C83895">
        <w:rPr>
          <w:sz w:val="22"/>
          <w:szCs w:val="22"/>
        </w:rPr>
        <w:t>n Academic Director</w:t>
      </w:r>
      <w:r w:rsidRPr="00A62C3B">
        <w:rPr>
          <w:sz w:val="22"/>
          <w:szCs w:val="22"/>
        </w:rPr>
        <w:t xml:space="preserve"> and is responsible for particular areas of provision. In most cases this provision comprises taught programmes and research in related disciplines. </w:t>
      </w:r>
      <w:r w:rsidR="00C83895">
        <w:rPr>
          <w:sz w:val="22"/>
          <w:szCs w:val="22"/>
        </w:rPr>
        <w:t>Academic Discipline</w:t>
      </w:r>
      <w:r w:rsidR="00C83895" w:rsidRPr="00A62C3B">
        <w:rPr>
          <w:sz w:val="22"/>
          <w:szCs w:val="22"/>
        </w:rPr>
        <w:t xml:space="preserve"> </w:t>
      </w:r>
      <w:r w:rsidRPr="00A62C3B">
        <w:rPr>
          <w:sz w:val="22"/>
          <w:szCs w:val="22"/>
        </w:rPr>
        <w:t xml:space="preserve">Boards, chaired by the </w:t>
      </w:r>
      <w:r w:rsidR="00C83895">
        <w:rPr>
          <w:sz w:val="22"/>
          <w:szCs w:val="22"/>
        </w:rPr>
        <w:t>Academic Directors</w:t>
      </w:r>
      <w:r w:rsidRPr="00A62C3B">
        <w:rPr>
          <w:sz w:val="22"/>
          <w:szCs w:val="22"/>
        </w:rPr>
        <w:t xml:space="preserve">, normally meet three times a year and report to </w:t>
      </w:r>
      <w:r w:rsidR="00C83895">
        <w:rPr>
          <w:sz w:val="22"/>
          <w:szCs w:val="22"/>
        </w:rPr>
        <w:t>the Institute</w:t>
      </w:r>
      <w:r w:rsidR="00C83895" w:rsidRPr="00A62C3B">
        <w:rPr>
          <w:sz w:val="22"/>
          <w:szCs w:val="22"/>
        </w:rPr>
        <w:t xml:space="preserve"> </w:t>
      </w:r>
      <w:r w:rsidRPr="00A62C3B">
        <w:rPr>
          <w:sz w:val="22"/>
          <w:szCs w:val="22"/>
        </w:rPr>
        <w:t xml:space="preserve">Board. </w:t>
      </w:r>
      <w:r w:rsidR="00C83895">
        <w:rPr>
          <w:sz w:val="22"/>
          <w:szCs w:val="22"/>
        </w:rPr>
        <w:t xml:space="preserve">Academic Discipline </w:t>
      </w:r>
      <w:r w:rsidRPr="00A62C3B">
        <w:rPr>
          <w:sz w:val="22"/>
          <w:szCs w:val="22"/>
        </w:rPr>
        <w:t xml:space="preserve">Board meetings provide a formal mechanism for communication and discussion of </w:t>
      </w:r>
      <w:r w:rsidR="00C83895">
        <w:rPr>
          <w:sz w:val="22"/>
          <w:szCs w:val="22"/>
        </w:rPr>
        <w:t xml:space="preserve">Academic Discipline </w:t>
      </w:r>
      <w:r w:rsidRPr="00A62C3B">
        <w:rPr>
          <w:sz w:val="22"/>
          <w:szCs w:val="22"/>
        </w:rPr>
        <w:t xml:space="preserve">and </w:t>
      </w:r>
      <w:r w:rsidR="00C83895">
        <w:rPr>
          <w:sz w:val="22"/>
          <w:szCs w:val="22"/>
        </w:rPr>
        <w:t xml:space="preserve">Institute </w:t>
      </w:r>
      <w:r w:rsidRPr="00A62C3B">
        <w:rPr>
          <w:sz w:val="22"/>
          <w:szCs w:val="22"/>
        </w:rPr>
        <w:t xml:space="preserve">matters and major issues raised at Senate, its standing committees and </w:t>
      </w:r>
      <w:r w:rsidR="00C83895">
        <w:rPr>
          <w:sz w:val="22"/>
          <w:szCs w:val="22"/>
        </w:rPr>
        <w:t xml:space="preserve">Institute </w:t>
      </w:r>
      <w:r w:rsidRPr="00A62C3B">
        <w:rPr>
          <w:sz w:val="22"/>
          <w:szCs w:val="22"/>
        </w:rPr>
        <w:t>Board. The meetings therefore play an important role in the dissemination of information to staff and in the discussion of key issues.</w:t>
      </w:r>
    </w:p>
    <w:p w14:paraId="3097E5E0" w14:textId="77777777" w:rsidR="00887997" w:rsidRPr="00A62C3B" w:rsidRDefault="00887997" w:rsidP="00E126EC">
      <w:pPr>
        <w:pStyle w:val="NormalWeb1"/>
        <w:spacing w:before="200" w:beforeAutospacing="0" w:after="0" w:afterAutospacing="0"/>
        <w:ind w:left="709"/>
        <w:jc w:val="both"/>
        <w:rPr>
          <w:sz w:val="22"/>
          <w:szCs w:val="22"/>
        </w:rPr>
      </w:pPr>
      <w:r w:rsidRPr="00AC3569">
        <w:rPr>
          <w:sz w:val="22"/>
          <w:szCs w:val="22"/>
        </w:rPr>
        <w:t>The following are suggested Terms of Reference and Membership for Academic Discipline Boards, although these may be varied according to the needs of the Academic Discipline.</w:t>
      </w:r>
    </w:p>
    <w:p w14:paraId="4E5A9D30" w14:textId="77777777" w:rsidR="00E126EC" w:rsidRPr="00A62C3B" w:rsidRDefault="00E126EC" w:rsidP="00E126EC">
      <w:pPr>
        <w:ind w:left="720" w:hanging="360"/>
        <w:jc w:val="both"/>
        <w:rPr>
          <w:sz w:val="22"/>
          <w:szCs w:val="22"/>
        </w:rPr>
      </w:pPr>
    </w:p>
    <w:p w14:paraId="054D19FA" w14:textId="77777777" w:rsidR="00E126EC" w:rsidRPr="00A62C3B" w:rsidRDefault="00E126EC" w:rsidP="00E126EC">
      <w:pPr>
        <w:ind w:left="72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62C3B">
        <w:rPr>
          <w:sz w:val="22"/>
          <w:szCs w:val="22"/>
        </w:rPr>
        <w:t xml:space="preserve"> </w:t>
      </w:r>
      <w:r w:rsidRPr="00A62C3B">
        <w:rPr>
          <w:rFonts w:ascii="Arial" w:hAnsi="Arial" w:cs="Arial"/>
          <w:b/>
          <w:sz w:val="22"/>
          <w:szCs w:val="22"/>
          <w:lang w:val="en-GB"/>
        </w:rPr>
        <w:tab/>
        <w:t xml:space="preserve">Terms of Reference  </w:t>
      </w:r>
    </w:p>
    <w:p w14:paraId="79EA2FA2" w14:textId="77777777" w:rsidR="00E126EC" w:rsidRPr="00A62C3B" w:rsidRDefault="00E126EC" w:rsidP="00E126EC">
      <w:pPr>
        <w:numPr>
          <w:ilvl w:val="0"/>
          <w:numId w:val="1"/>
        </w:numPr>
        <w:tabs>
          <w:tab w:val="clear" w:pos="1080"/>
          <w:tab w:val="num" w:pos="709"/>
        </w:tabs>
        <w:spacing w:before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A62C3B">
        <w:rPr>
          <w:rFonts w:ascii="Arial" w:hAnsi="Arial" w:cs="Arial"/>
          <w:sz w:val="22"/>
          <w:szCs w:val="22"/>
        </w:rPr>
        <w:t xml:space="preserve">To disseminate, discuss and initiate appropriate action in response to matters arising from </w:t>
      </w:r>
      <w:r w:rsidR="00C83895">
        <w:rPr>
          <w:rFonts w:ascii="Arial" w:hAnsi="Arial" w:cs="Arial"/>
          <w:sz w:val="22"/>
          <w:szCs w:val="22"/>
        </w:rPr>
        <w:t>the Institute</w:t>
      </w:r>
      <w:r w:rsidR="00C83895" w:rsidRPr="00A62C3B">
        <w:rPr>
          <w:rFonts w:ascii="Arial" w:hAnsi="Arial" w:cs="Arial"/>
          <w:sz w:val="22"/>
          <w:szCs w:val="22"/>
        </w:rPr>
        <w:t xml:space="preserve"> </w:t>
      </w:r>
      <w:r w:rsidRPr="00A62C3B">
        <w:rPr>
          <w:rFonts w:ascii="Arial" w:hAnsi="Arial" w:cs="Arial"/>
          <w:sz w:val="22"/>
          <w:szCs w:val="22"/>
        </w:rPr>
        <w:t>Board and from Senate and its standing committees;</w:t>
      </w:r>
    </w:p>
    <w:p w14:paraId="28325350" w14:textId="77777777" w:rsidR="00E126EC" w:rsidRPr="00A62C3B" w:rsidRDefault="00E126EC" w:rsidP="00E126EC">
      <w:pPr>
        <w:numPr>
          <w:ilvl w:val="0"/>
          <w:numId w:val="1"/>
        </w:numPr>
        <w:tabs>
          <w:tab w:val="clear" w:pos="1080"/>
          <w:tab w:val="num" w:pos="720"/>
        </w:tabs>
        <w:spacing w:before="120" w:after="120"/>
        <w:ind w:left="720" w:hanging="578"/>
        <w:jc w:val="both"/>
        <w:rPr>
          <w:rFonts w:ascii="Arial" w:hAnsi="Arial" w:cs="Arial"/>
          <w:sz w:val="22"/>
          <w:szCs w:val="22"/>
        </w:rPr>
      </w:pPr>
      <w:r w:rsidRPr="00A62C3B">
        <w:rPr>
          <w:rFonts w:ascii="Arial" w:hAnsi="Arial" w:cs="Arial"/>
          <w:sz w:val="22"/>
          <w:szCs w:val="22"/>
        </w:rPr>
        <w:t xml:space="preserve">To monitor the delivery of the </w:t>
      </w:r>
      <w:r w:rsidR="00C83895">
        <w:rPr>
          <w:rFonts w:ascii="Arial" w:hAnsi="Arial" w:cs="Arial"/>
          <w:sz w:val="22"/>
          <w:szCs w:val="22"/>
        </w:rPr>
        <w:t>Institute</w:t>
      </w:r>
      <w:r w:rsidR="00C83895" w:rsidRPr="00A62C3B">
        <w:rPr>
          <w:rFonts w:ascii="Arial" w:hAnsi="Arial" w:cs="Arial"/>
          <w:sz w:val="22"/>
          <w:szCs w:val="22"/>
        </w:rPr>
        <w:t xml:space="preserve"> </w:t>
      </w:r>
      <w:r w:rsidRPr="00A62C3B">
        <w:rPr>
          <w:rFonts w:ascii="Arial" w:hAnsi="Arial" w:cs="Arial"/>
          <w:sz w:val="22"/>
          <w:szCs w:val="22"/>
        </w:rPr>
        <w:t>strategy within the context of the</w:t>
      </w:r>
      <w:r w:rsidR="00C83895">
        <w:rPr>
          <w:rFonts w:ascii="Arial" w:hAnsi="Arial" w:cs="Arial"/>
          <w:sz w:val="22"/>
          <w:szCs w:val="22"/>
        </w:rPr>
        <w:t xml:space="preserve"> Academic Discipline</w:t>
      </w:r>
      <w:r w:rsidRPr="00A62C3B">
        <w:rPr>
          <w:rFonts w:ascii="Arial" w:hAnsi="Arial" w:cs="Arial"/>
          <w:sz w:val="22"/>
          <w:szCs w:val="22"/>
        </w:rPr>
        <w:t>;</w:t>
      </w:r>
    </w:p>
    <w:p w14:paraId="2DB2E879" w14:textId="77777777" w:rsidR="00E126EC" w:rsidRPr="00A62C3B" w:rsidRDefault="00E126EC" w:rsidP="00E126EC">
      <w:pPr>
        <w:numPr>
          <w:ilvl w:val="0"/>
          <w:numId w:val="1"/>
        </w:numPr>
        <w:tabs>
          <w:tab w:val="clear" w:pos="1080"/>
          <w:tab w:val="num" w:pos="720"/>
        </w:tabs>
        <w:spacing w:before="120" w:after="120"/>
        <w:ind w:left="720" w:hanging="578"/>
        <w:jc w:val="both"/>
        <w:rPr>
          <w:rFonts w:ascii="Arial" w:hAnsi="Arial" w:cs="Arial"/>
          <w:sz w:val="22"/>
          <w:szCs w:val="22"/>
        </w:rPr>
      </w:pPr>
      <w:r w:rsidRPr="00A62C3B">
        <w:rPr>
          <w:rFonts w:ascii="Arial" w:hAnsi="Arial" w:cs="Arial"/>
          <w:sz w:val="22"/>
          <w:szCs w:val="22"/>
        </w:rPr>
        <w:t xml:space="preserve">To ensure that the </w:t>
      </w:r>
      <w:r w:rsidR="00C83895">
        <w:rPr>
          <w:rFonts w:ascii="Arial" w:hAnsi="Arial" w:cs="Arial"/>
          <w:sz w:val="22"/>
          <w:szCs w:val="22"/>
        </w:rPr>
        <w:t xml:space="preserve">Academic Discipline </w:t>
      </w:r>
      <w:r w:rsidRPr="00A62C3B">
        <w:rPr>
          <w:rFonts w:ascii="Arial" w:hAnsi="Arial" w:cs="Arial"/>
          <w:sz w:val="22"/>
          <w:szCs w:val="22"/>
        </w:rPr>
        <w:t>implements the University’s regulations and procedures relating to taught and research provision and, in liaison with the</w:t>
      </w:r>
      <w:r w:rsidR="00C83895">
        <w:rPr>
          <w:rFonts w:ascii="Arial" w:hAnsi="Arial" w:cs="Arial"/>
          <w:sz w:val="22"/>
          <w:szCs w:val="22"/>
        </w:rPr>
        <w:t xml:space="preserve"> Institute</w:t>
      </w:r>
      <w:r w:rsidRPr="00A62C3B">
        <w:rPr>
          <w:rFonts w:ascii="Arial" w:hAnsi="Arial" w:cs="Arial"/>
          <w:sz w:val="22"/>
          <w:szCs w:val="22"/>
        </w:rPr>
        <w:t xml:space="preserve">, to drive, direct, monitor and oversee the </w:t>
      </w:r>
      <w:r w:rsidR="00C83895">
        <w:rPr>
          <w:rFonts w:ascii="Arial" w:hAnsi="Arial" w:cs="Arial"/>
          <w:sz w:val="22"/>
          <w:szCs w:val="22"/>
        </w:rPr>
        <w:t xml:space="preserve">Academic Discipline’s </w:t>
      </w:r>
      <w:r w:rsidRPr="00A62C3B">
        <w:rPr>
          <w:rFonts w:ascii="Arial" w:hAnsi="Arial" w:cs="Arial"/>
          <w:sz w:val="22"/>
          <w:szCs w:val="22"/>
        </w:rPr>
        <w:t>activities in relation to:</w:t>
      </w:r>
    </w:p>
    <w:p w14:paraId="438D3D94" w14:textId="77777777" w:rsidR="00E126EC" w:rsidRPr="00A62C3B" w:rsidRDefault="00E126EC" w:rsidP="00E126EC">
      <w:pPr>
        <w:numPr>
          <w:ilvl w:val="1"/>
          <w:numId w:val="3"/>
        </w:numPr>
        <w:tabs>
          <w:tab w:val="num" w:pos="77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sz w:val="22"/>
          <w:szCs w:val="22"/>
          <w:lang w:val="en-GB"/>
        </w:rPr>
        <w:t>the marketing of programmes,</w:t>
      </w:r>
    </w:p>
    <w:p w14:paraId="1C802585" w14:textId="0A3C54CE" w:rsidR="00E126EC" w:rsidRDefault="00E126E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sz w:val="22"/>
          <w:szCs w:val="22"/>
          <w:lang w:val="en-GB"/>
        </w:rPr>
        <w:t>the recruitment and admission of students,</w:t>
      </w:r>
    </w:p>
    <w:p w14:paraId="478E27FF" w14:textId="63D984B4" w:rsidR="00F93694" w:rsidRPr="00A62C3B" w:rsidRDefault="00F93694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 </w:t>
      </w:r>
      <w:r w:rsidR="00ED120B">
        <w:rPr>
          <w:rFonts w:ascii="Arial" w:hAnsi="Arial" w:cs="Arial"/>
          <w:sz w:val="22"/>
          <w:szCs w:val="22"/>
          <w:lang w:val="en-GB"/>
        </w:rPr>
        <w:t>transition support (e.g. academic induction),</w:t>
      </w:r>
    </w:p>
    <w:p w14:paraId="2CB34C31" w14:textId="77777777" w:rsidR="00B77549" w:rsidRDefault="00E126E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B77549">
        <w:rPr>
          <w:rFonts w:ascii="Arial" w:hAnsi="Arial" w:cs="Arial"/>
          <w:sz w:val="22"/>
          <w:szCs w:val="22"/>
          <w:lang w:val="en-GB"/>
        </w:rPr>
        <w:t>enhancing the quality of the student learning experience</w:t>
      </w:r>
      <w:r w:rsidR="00B77549" w:rsidRPr="00B77549">
        <w:rPr>
          <w:rFonts w:ascii="Arial" w:hAnsi="Arial" w:cs="Arial"/>
          <w:sz w:val="22"/>
          <w:szCs w:val="22"/>
          <w:lang w:val="en-GB"/>
        </w:rPr>
        <w:t>,</w:t>
      </w:r>
    </w:p>
    <w:p w14:paraId="644CEDC1" w14:textId="7031267F" w:rsidR="00B7392C" w:rsidRPr="00B77549" w:rsidRDefault="00B7392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B77549">
        <w:rPr>
          <w:rFonts w:ascii="Arial" w:hAnsi="Arial" w:cs="Arial"/>
          <w:sz w:val="22"/>
          <w:szCs w:val="22"/>
          <w:lang w:val="en-GB"/>
        </w:rPr>
        <w:t>student engagement and support with their academic experience,</w:t>
      </w:r>
    </w:p>
    <w:p w14:paraId="7649E8B1" w14:textId="77777777" w:rsidR="00B7392C" w:rsidRDefault="00B7392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 progression, retention and attainment,</w:t>
      </w:r>
    </w:p>
    <w:p w14:paraId="0C70B781" w14:textId="77777777" w:rsidR="00B7392C" w:rsidRDefault="00B7392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employment and employability,</w:t>
      </w:r>
    </w:p>
    <w:p w14:paraId="5B3C843D" w14:textId="37890917" w:rsidR="00B7392C" w:rsidRPr="00A62C3B" w:rsidRDefault="00B7392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resources and facilities for programmes</w:t>
      </w:r>
      <w:r w:rsidR="00ED120B">
        <w:rPr>
          <w:rFonts w:ascii="Arial" w:hAnsi="Arial" w:cs="Arial"/>
          <w:sz w:val="22"/>
          <w:szCs w:val="22"/>
          <w:lang w:val="en-GB"/>
        </w:rPr>
        <w:t>,</w:t>
      </w:r>
    </w:p>
    <w:p w14:paraId="6AF292ED" w14:textId="31C001AA" w:rsidR="00B77549" w:rsidRDefault="00B77549" w:rsidP="00B77549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learning and teaching</w:t>
      </w:r>
      <w:r w:rsidR="00ED120B">
        <w:rPr>
          <w:rFonts w:ascii="Arial" w:hAnsi="Arial" w:cs="Arial"/>
          <w:sz w:val="22"/>
          <w:szCs w:val="22"/>
          <w:lang w:val="en-GB"/>
        </w:rPr>
        <w:t>,</w:t>
      </w:r>
    </w:p>
    <w:p w14:paraId="3BA9F0BA" w14:textId="77777777" w:rsidR="00E126EC" w:rsidRPr="00A62C3B" w:rsidRDefault="00E126E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sz w:val="22"/>
          <w:szCs w:val="22"/>
          <w:lang w:val="en-GB"/>
        </w:rPr>
        <w:t>developing, monitoring and review of academic programmes,</w:t>
      </w:r>
    </w:p>
    <w:p w14:paraId="0184DDE0" w14:textId="77777777" w:rsidR="00E126EC" w:rsidRDefault="00E126E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sz w:val="22"/>
          <w:szCs w:val="22"/>
          <w:lang w:val="en-GB"/>
        </w:rPr>
        <w:t>assessment and examination of academic performance,</w:t>
      </w:r>
    </w:p>
    <w:p w14:paraId="614086BB" w14:textId="589D1BE9" w:rsidR="00E126EC" w:rsidRDefault="00E126EC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sz w:val="22"/>
          <w:szCs w:val="22"/>
          <w:lang w:val="en-GB"/>
        </w:rPr>
        <w:t>assuring academic standards,</w:t>
      </w:r>
    </w:p>
    <w:p w14:paraId="1E44A4DF" w14:textId="29586034" w:rsidR="00F93694" w:rsidRPr="00F93694" w:rsidRDefault="00F93694" w:rsidP="00E126E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 w:rsidRPr="00F93694">
        <w:rPr>
          <w:rFonts w:ascii="Arial" w:hAnsi="Arial" w:cs="Arial"/>
          <w:sz w:val="22"/>
          <w:szCs w:val="22"/>
          <w:lang w:val="en-GB"/>
        </w:rPr>
        <w:t>student feedback</w:t>
      </w:r>
      <w:r w:rsidR="00ED120B">
        <w:rPr>
          <w:rFonts w:ascii="Arial" w:hAnsi="Arial" w:cs="Arial"/>
          <w:sz w:val="22"/>
          <w:szCs w:val="22"/>
          <w:lang w:val="en-GB"/>
        </w:rPr>
        <w:t xml:space="preserve"> and communication</w:t>
      </w:r>
      <w:r w:rsidRPr="00F93694">
        <w:rPr>
          <w:rFonts w:ascii="Arial" w:hAnsi="Arial" w:cs="Arial"/>
          <w:sz w:val="22"/>
          <w:szCs w:val="22"/>
          <w:lang w:val="en-GB"/>
        </w:rPr>
        <w:t xml:space="preserve"> (e.g. module questionnair</w:t>
      </w:r>
      <w:r w:rsidRPr="000C22BB">
        <w:rPr>
          <w:rFonts w:ascii="Arial" w:hAnsi="Arial" w:cs="Arial"/>
          <w:sz w:val="22"/>
          <w:szCs w:val="22"/>
          <w:lang w:val="en-GB"/>
        </w:rPr>
        <w:t>es, external surveys, S</w:t>
      </w:r>
      <w:r w:rsidR="000C22BB">
        <w:rPr>
          <w:rFonts w:ascii="Arial" w:hAnsi="Arial" w:cs="Arial"/>
          <w:sz w:val="22"/>
          <w:szCs w:val="22"/>
          <w:lang w:val="en-GB"/>
        </w:rPr>
        <w:t>tudent Staff Committee</w:t>
      </w:r>
      <w:r w:rsidRPr="000C22BB">
        <w:rPr>
          <w:rFonts w:ascii="Arial" w:hAnsi="Arial" w:cs="Arial"/>
          <w:sz w:val="22"/>
          <w:szCs w:val="22"/>
          <w:lang w:val="en-GB"/>
        </w:rPr>
        <w:t xml:space="preserve"> feedba</w:t>
      </w:r>
      <w:r>
        <w:rPr>
          <w:rFonts w:ascii="Arial" w:hAnsi="Arial" w:cs="Arial"/>
          <w:sz w:val="22"/>
          <w:szCs w:val="22"/>
          <w:lang w:val="en-GB"/>
        </w:rPr>
        <w:t>ck),</w:t>
      </w:r>
    </w:p>
    <w:p w14:paraId="037DA229" w14:textId="77777777" w:rsidR="00B7392C" w:rsidRPr="00B7392C" w:rsidRDefault="00B7392C" w:rsidP="00B7392C">
      <w:pPr>
        <w:numPr>
          <w:ilvl w:val="1"/>
          <w:numId w:val="3"/>
        </w:numPr>
        <w:tabs>
          <w:tab w:val="num" w:pos="1134"/>
        </w:tabs>
        <w:ind w:left="10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external expertise (</w:t>
      </w:r>
      <w:r w:rsidR="00E126EC" w:rsidRPr="00A62C3B">
        <w:rPr>
          <w:rFonts w:ascii="Arial" w:hAnsi="Arial" w:cs="Arial"/>
          <w:sz w:val="22"/>
          <w:szCs w:val="22"/>
          <w:lang w:val="en-GB"/>
        </w:rPr>
        <w:t>external examiners</w:t>
      </w:r>
      <w:r>
        <w:rPr>
          <w:rFonts w:ascii="Arial" w:hAnsi="Arial" w:cs="Arial"/>
          <w:sz w:val="22"/>
          <w:szCs w:val="22"/>
          <w:lang w:val="en-GB"/>
        </w:rPr>
        <w:t>, external advisers, external programme reviewers);</w:t>
      </w:r>
    </w:p>
    <w:p w14:paraId="05C29EE5" w14:textId="77777777" w:rsidR="00E126EC" w:rsidRDefault="00E126EC" w:rsidP="00E126EC">
      <w:pPr>
        <w:numPr>
          <w:ilvl w:val="0"/>
          <w:numId w:val="1"/>
        </w:numPr>
        <w:tabs>
          <w:tab w:val="clear" w:pos="1080"/>
          <w:tab w:val="num" w:pos="709"/>
        </w:tabs>
        <w:spacing w:before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A62C3B">
        <w:rPr>
          <w:rFonts w:ascii="Arial" w:hAnsi="Arial" w:cs="Arial"/>
          <w:sz w:val="22"/>
          <w:szCs w:val="22"/>
        </w:rPr>
        <w:t>To identify resource issues that impact upon the quality of the student learning experience and initiate action where necessary;</w:t>
      </w:r>
    </w:p>
    <w:p w14:paraId="09C030E5" w14:textId="04D95CC7" w:rsidR="00E126EC" w:rsidRPr="00A62C3B" w:rsidRDefault="00E126EC" w:rsidP="00E126EC">
      <w:pPr>
        <w:numPr>
          <w:ilvl w:val="0"/>
          <w:numId w:val="1"/>
        </w:numPr>
        <w:tabs>
          <w:tab w:val="clear" w:pos="1080"/>
          <w:tab w:val="num" w:pos="709"/>
        </w:tabs>
        <w:spacing w:before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A62C3B">
        <w:rPr>
          <w:rFonts w:ascii="Arial" w:hAnsi="Arial" w:cs="Arial"/>
          <w:sz w:val="22"/>
          <w:szCs w:val="22"/>
        </w:rPr>
        <w:t xml:space="preserve">To consider all relevant matters linked to the activity of the </w:t>
      </w:r>
      <w:r w:rsidR="00FD1702">
        <w:rPr>
          <w:rFonts w:ascii="Arial" w:hAnsi="Arial" w:cs="Arial"/>
          <w:sz w:val="22"/>
          <w:szCs w:val="22"/>
        </w:rPr>
        <w:t>Academic Discipline</w:t>
      </w:r>
      <w:r w:rsidRPr="00A62C3B">
        <w:rPr>
          <w:rFonts w:ascii="Arial" w:hAnsi="Arial" w:cs="Arial"/>
          <w:sz w:val="22"/>
          <w:szCs w:val="22"/>
        </w:rPr>
        <w:t xml:space="preserve">, including: timetabling, widening access, staff development, research, international and/or collaborative provision, </w:t>
      </w:r>
      <w:r w:rsidR="00C6578E">
        <w:rPr>
          <w:rFonts w:ascii="Arial" w:hAnsi="Arial" w:cs="Arial"/>
          <w:sz w:val="22"/>
          <w:szCs w:val="22"/>
        </w:rPr>
        <w:t xml:space="preserve">apprenticeship provision, </w:t>
      </w:r>
      <w:r w:rsidRPr="00A62C3B">
        <w:rPr>
          <w:rFonts w:ascii="Arial" w:hAnsi="Arial" w:cs="Arial"/>
          <w:sz w:val="22"/>
          <w:szCs w:val="22"/>
        </w:rPr>
        <w:t>health and safety, marketing and income generation activity.</w:t>
      </w:r>
    </w:p>
    <w:p w14:paraId="2D207ABD" w14:textId="77777777" w:rsidR="00E126EC" w:rsidRPr="00A62C3B" w:rsidRDefault="00E126EC" w:rsidP="00E126EC">
      <w:pPr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2116B51" w14:textId="77777777" w:rsidR="00E126EC" w:rsidRPr="00A62C3B" w:rsidRDefault="00E126EC" w:rsidP="00E126EC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b/>
          <w:sz w:val="22"/>
          <w:szCs w:val="22"/>
          <w:lang w:val="en-GB"/>
        </w:rPr>
        <w:t xml:space="preserve">Membership of </w:t>
      </w:r>
      <w:r w:rsidR="00FD1702">
        <w:rPr>
          <w:rFonts w:ascii="Arial" w:hAnsi="Arial" w:cs="Arial"/>
          <w:b/>
          <w:sz w:val="22"/>
          <w:szCs w:val="22"/>
          <w:lang w:val="en-GB"/>
        </w:rPr>
        <w:t xml:space="preserve">Academic Discipline </w:t>
      </w:r>
      <w:r w:rsidRPr="00A62C3B">
        <w:rPr>
          <w:rFonts w:ascii="Arial" w:hAnsi="Arial" w:cs="Arial"/>
          <w:b/>
          <w:sz w:val="22"/>
          <w:szCs w:val="22"/>
          <w:lang w:val="en-GB"/>
        </w:rPr>
        <w:t>Board</w:t>
      </w:r>
    </w:p>
    <w:p w14:paraId="014EE749" w14:textId="77777777" w:rsidR="00E126EC" w:rsidRPr="00A62C3B" w:rsidRDefault="00FD1702" w:rsidP="00E126EC">
      <w:pPr>
        <w:spacing w:line="240" w:lineRule="atLeast"/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Academic Director</w:t>
      </w:r>
      <w:r w:rsidR="00E126EC" w:rsidRPr="00A62C3B">
        <w:rPr>
          <w:rFonts w:ascii="Arial" w:hAnsi="Arial" w:cs="Arial"/>
          <w:sz w:val="22"/>
          <w:szCs w:val="22"/>
          <w:lang w:val="en-GB"/>
        </w:rPr>
        <w:t xml:space="preserve"> (Chair) </w:t>
      </w:r>
    </w:p>
    <w:p w14:paraId="4B0B7B5D" w14:textId="77777777" w:rsidR="00E126EC" w:rsidRPr="00A62C3B" w:rsidRDefault="00E126EC" w:rsidP="00E126EC">
      <w:pPr>
        <w:spacing w:line="240" w:lineRule="atLeast"/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sz w:val="22"/>
          <w:szCs w:val="22"/>
          <w:lang w:val="en-GB"/>
        </w:rPr>
        <w:t xml:space="preserve">The academic staff of the </w:t>
      </w:r>
      <w:r w:rsidR="00FD1702">
        <w:rPr>
          <w:rFonts w:ascii="Arial" w:hAnsi="Arial" w:cs="Arial"/>
          <w:sz w:val="22"/>
          <w:szCs w:val="22"/>
          <w:lang w:val="en-GB"/>
        </w:rPr>
        <w:t>Academic Discipline</w:t>
      </w:r>
    </w:p>
    <w:p w14:paraId="12888032" w14:textId="77777777" w:rsidR="00E126EC" w:rsidRPr="00A62C3B" w:rsidRDefault="00E126EC" w:rsidP="00E126EC">
      <w:pPr>
        <w:spacing w:line="240" w:lineRule="atLeast"/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 w:rsidRPr="00A62C3B">
        <w:rPr>
          <w:rFonts w:ascii="Arial" w:hAnsi="Arial" w:cs="Arial"/>
          <w:sz w:val="22"/>
          <w:szCs w:val="22"/>
          <w:lang w:val="en-GB"/>
        </w:rPr>
        <w:t>Technical staff (as appropriate)</w:t>
      </w:r>
    </w:p>
    <w:p w14:paraId="46E8F5AB" w14:textId="0D448309" w:rsidR="00E126EC" w:rsidRPr="00A62C3B" w:rsidRDefault="00E126EC" w:rsidP="00C6578E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A62C3B">
        <w:rPr>
          <w:rFonts w:ascii="Arial" w:hAnsi="Arial" w:cs="Arial"/>
          <w:sz w:val="22"/>
          <w:szCs w:val="22"/>
          <w:lang w:val="en-GB"/>
        </w:rPr>
        <w:t>Secretary</w:t>
      </w:r>
      <w:r w:rsidRPr="00A62C3B">
        <w:rPr>
          <w:rFonts w:ascii="Arial" w:hAnsi="Arial" w:cs="Arial"/>
          <w:b/>
          <w:sz w:val="22"/>
          <w:szCs w:val="22"/>
        </w:rPr>
        <w:tab/>
      </w:r>
    </w:p>
    <w:p w14:paraId="72258479" w14:textId="77777777" w:rsidR="00DD6033" w:rsidRDefault="00DD6033"/>
    <w:sectPr w:rsidR="00DD6033" w:rsidSect="002F76B9">
      <w:headerReference w:type="default" r:id="rId7"/>
      <w:footerReference w:type="default" r:id="rId8"/>
      <w:pgSz w:w="11906" w:h="16838"/>
      <w:pgMar w:top="136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ACF3A" w14:textId="77777777" w:rsidR="004F154B" w:rsidRDefault="004F154B" w:rsidP="00FD1702">
      <w:r>
        <w:separator/>
      </w:r>
    </w:p>
  </w:endnote>
  <w:endnote w:type="continuationSeparator" w:id="0">
    <w:p w14:paraId="5A1D4D5A" w14:textId="77777777" w:rsidR="004F154B" w:rsidRDefault="004F154B" w:rsidP="00FD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F1E6B" w14:textId="465A9B7E" w:rsidR="00FD1702" w:rsidRPr="000C22BB" w:rsidRDefault="00895F61">
    <w:pPr>
      <w:pStyle w:val="Footer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  <w:lang w:val="en-GB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1E7DA" w14:textId="77777777" w:rsidR="004F154B" w:rsidRDefault="004F154B" w:rsidP="00FD1702">
      <w:r>
        <w:separator/>
      </w:r>
    </w:p>
  </w:footnote>
  <w:footnote w:type="continuationSeparator" w:id="0">
    <w:p w14:paraId="223030DF" w14:textId="77777777" w:rsidR="004F154B" w:rsidRDefault="004F154B" w:rsidP="00FD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8C19" w14:textId="16B267D7" w:rsidR="00AC3569" w:rsidRPr="00AC3569" w:rsidRDefault="00AC3569" w:rsidP="00AC3569">
    <w:pPr>
      <w:pStyle w:val="Header"/>
      <w:jc w:val="right"/>
      <w:rPr>
        <w:rFonts w:ascii="Arial" w:hAnsi="Arial" w:cs="Arial"/>
        <w:b/>
        <w:sz w:val="22"/>
        <w:szCs w:val="22"/>
        <w:lang w:val="en-GB"/>
      </w:rPr>
    </w:pPr>
    <w:r w:rsidRPr="00AC3569">
      <w:rPr>
        <w:rFonts w:ascii="Arial" w:hAnsi="Arial" w:cs="Arial"/>
        <w:b/>
        <w:sz w:val="22"/>
        <w:szCs w:val="22"/>
        <w:lang w:val="en-GB"/>
      </w:rPr>
      <w:t xml:space="preserve">APPENDIX </w:t>
    </w:r>
    <w:r w:rsidR="00857D4B">
      <w:rPr>
        <w:rFonts w:ascii="Arial" w:hAnsi="Arial" w:cs="Arial"/>
        <w:b/>
        <w:sz w:val="22"/>
        <w:szCs w:val="22"/>
        <w:lang w:val="en-GB"/>
      </w:rPr>
      <w:t>IC1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50FA"/>
    <w:multiLevelType w:val="hybridMultilevel"/>
    <w:tmpl w:val="4AF2AF50"/>
    <w:lvl w:ilvl="0" w:tplc="397E0312">
      <w:start w:val="1"/>
      <w:numFmt w:val="decimal"/>
      <w:pStyle w:val="AQHSub-1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2D64"/>
    <w:multiLevelType w:val="hybridMultilevel"/>
    <w:tmpl w:val="25BE3B2C"/>
    <w:lvl w:ilvl="0" w:tplc="3E8280B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6C2258"/>
    <w:multiLevelType w:val="hybridMultilevel"/>
    <w:tmpl w:val="7BF4D6BE"/>
    <w:lvl w:ilvl="0" w:tplc="3E8280B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765441">
    <w:abstractNumId w:val="1"/>
  </w:num>
  <w:num w:numId="2" w16cid:durableId="692075156">
    <w:abstractNumId w:val="0"/>
  </w:num>
  <w:num w:numId="3" w16cid:durableId="184315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EC"/>
    <w:rsid w:val="000343A4"/>
    <w:rsid w:val="000905D3"/>
    <w:rsid w:val="000A45FF"/>
    <w:rsid w:val="000A5193"/>
    <w:rsid w:val="000B383C"/>
    <w:rsid w:val="000C22BB"/>
    <w:rsid w:val="000D2AE4"/>
    <w:rsid w:val="000D5205"/>
    <w:rsid w:val="000D7F86"/>
    <w:rsid w:val="000E1307"/>
    <w:rsid w:val="000F7A81"/>
    <w:rsid w:val="00100E4C"/>
    <w:rsid w:val="00120E4D"/>
    <w:rsid w:val="00122EA2"/>
    <w:rsid w:val="00140107"/>
    <w:rsid w:val="00146909"/>
    <w:rsid w:val="00161BD3"/>
    <w:rsid w:val="00171F31"/>
    <w:rsid w:val="001727E4"/>
    <w:rsid w:val="001875E7"/>
    <w:rsid w:val="001C6ACA"/>
    <w:rsid w:val="001D6611"/>
    <w:rsid w:val="001D762C"/>
    <w:rsid w:val="00200A22"/>
    <w:rsid w:val="00224558"/>
    <w:rsid w:val="002257F0"/>
    <w:rsid w:val="00261663"/>
    <w:rsid w:val="0027117A"/>
    <w:rsid w:val="002774E4"/>
    <w:rsid w:val="00290ED1"/>
    <w:rsid w:val="002935CE"/>
    <w:rsid w:val="0029614A"/>
    <w:rsid w:val="002A6EC8"/>
    <w:rsid w:val="002B04FB"/>
    <w:rsid w:val="002B33DD"/>
    <w:rsid w:val="002D5878"/>
    <w:rsid w:val="002F0627"/>
    <w:rsid w:val="002F4FE9"/>
    <w:rsid w:val="002F76B9"/>
    <w:rsid w:val="00324BE3"/>
    <w:rsid w:val="00342DC9"/>
    <w:rsid w:val="0035438E"/>
    <w:rsid w:val="003547BE"/>
    <w:rsid w:val="003565AD"/>
    <w:rsid w:val="00363835"/>
    <w:rsid w:val="00371A94"/>
    <w:rsid w:val="0038222F"/>
    <w:rsid w:val="003844CC"/>
    <w:rsid w:val="003847E7"/>
    <w:rsid w:val="003B0FB1"/>
    <w:rsid w:val="003C0996"/>
    <w:rsid w:val="003E0C2E"/>
    <w:rsid w:val="003E0F45"/>
    <w:rsid w:val="003E7BEE"/>
    <w:rsid w:val="003F648A"/>
    <w:rsid w:val="0041630D"/>
    <w:rsid w:val="00447218"/>
    <w:rsid w:val="00451234"/>
    <w:rsid w:val="00455B0B"/>
    <w:rsid w:val="004657A3"/>
    <w:rsid w:val="00466420"/>
    <w:rsid w:val="00474DDF"/>
    <w:rsid w:val="004766CB"/>
    <w:rsid w:val="00492C28"/>
    <w:rsid w:val="00493E9A"/>
    <w:rsid w:val="004A298E"/>
    <w:rsid w:val="004B78DD"/>
    <w:rsid w:val="004C195C"/>
    <w:rsid w:val="004C6819"/>
    <w:rsid w:val="004D6B15"/>
    <w:rsid w:val="004E19BB"/>
    <w:rsid w:val="004E49C9"/>
    <w:rsid w:val="004F154B"/>
    <w:rsid w:val="004F3808"/>
    <w:rsid w:val="0050561A"/>
    <w:rsid w:val="00556725"/>
    <w:rsid w:val="0059052C"/>
    <w:rsid w:val="005C4E91"/>
    <w:rsid w:val="005D572B"/>
    <w:rsid w:val="005D6AF0"/>
    <w:rsid w:val="005E092E"/>
    <w:rsid w:val="005E3A77"/>
    <w:rsid w:val="00640EB1"/>
    <w:rsid w:val="006607FC"/>
    <w:rsid w:val="006647DC"/>
    <w:rsid w:val="006671A8"/>
    <w:rsid w:val="00694FC7"/>
    <w:rsid w:val="006D5434"/>
    <w:rsid w:val="006E2672"/>
    <w:rsid w:val="006F57D7"/>
    <w:rsid w:val="00706FE7"/>
    <w:rsid w:val="007108D5"/>
    <w:rsid w:val="007165D6"/>
    <w:rsid w:val="00720F19"/>
    <w:rsid w:val="007251EF"/>
    <w:rsid w:val="00727158"/>
    <w:rsid w:val="00737949"/>
    <w:rsid w:val="00755447"/>
    <w:rsid w:val="00764F5C"/>
    <w:rsid w:val="00774389"/>
    <w:rsid w:val="0078671F"/>
    <w:rsid w:val="0079065E"/>
    <w:rsid w:val="00796680"/>
    <w:rsid w:val="007A1F10"/>
    <w:rsid w:val="007C0A75"/>
    <w:rsid w:val="007C249A"/>
    <w:rsid w:val="007D7C5A"/>
    <w:rsid w:val="007F6266"/>
    <w:rsid w:val="00813D0C"/>
    <w:rsid w:val="00825A70"/>
    <w:rsid w:val="00831389"/>
    <w:rsid w:val="008324EB"/>
    <w:rsid w:val="00836E03"/>
    <w:rsid w:val="008519D6"/>
    <w:rsid w:val="00857D4B"/>
    <w:rsid w:val="00875B63"/>
    <w:rsid w:val="00877184"/>
    <w:rsid w:val="00877D22"/>
    <w:rsid w:val="0088397D"/>
    <w:rsid w:val="00884A73"/>
    <w:rsid w:val="00887997"/>
    <w:rsid w:val="00894840"/>
    <w:rsid w:val="00895F61"/>
    <w:rsid w:val="008A2907"/>
    <w:rsid w:val="008A44D9"/>
    <w:rsid w:val="008B5CEF"/>
    <w:rsid w:val="008C2E36"/>
    <w:rsid w:val="008C645F"/>
    <w:rsid w:val="008F2F5F"/>
    <w:rsid w:val="009329BB"/>
    <w:rsid w:val="00971634"/>
    <w:rsid w:val="00983A86"/>
    <w:rsid w:val="009872F6"/>
    <w:rsid w:val="00997470"/>
    <w:rsid w:val="009C1045"/>
    <w:rsid w:val="009D090F"/>
    <w:rsid w:val="009D7476"/>
    <w:rsid w:val="00A205FC"/>
    <w:rsid w:val="00A51F96"/>
    <w:rsid w:val="00A63D72"/>
    <w:rsid w:val="00A74619"/>
    <w:rsid w:val="00A74CB8"/>
    <w:rsid w:val="00A9643C"/>
    <w:rsid w:val="00A96C88"/>
    <w:rsid w:val="00AC3569"/>
    <w:rsid w:val="00AE03B9"/>
    <w:rsid w:val="00AF4CCB"/>
    <w:rsid w:val="00B03FE4"/>
    <w:rsid w:val="00B2183C"/>
    <w:rsid w:val="00B63CF0"/>
    <w:rsid w:val="00B7392C"/>
    <w:rsid w:val="00B77549"/>
    <w:rsid w:val="00B93715"/>
    <w:rsid w:val="00B937B5"/>
    <w:rsid w:val="00BC52F8"/>
    <w:rsid w:val="00BE61AA"/>
    <w:rsid w:val="00BE7748"/>
    <w:rsid w:val="00BE7EC1"/>
    <w:rsid w:val="00BF5FB7"/>
    <w:rsid w:val="00C40264"/>
    <w:rsid w:val="00C527DD"/>
    <w:rsid w:val="00C6578E"/>
    <w:rsid w:val="00C83895"/>
    <w:rsid w:val="00C87984"/>
    <w:rsid w:val="00C91932"/>
    <w:rsid w:val="00C951B0"/>
    <w:rsid w:val="00CD5350"/>
    <w:rsid w:val="00CD7AB8"/>
    <w:rsid w:val="00D26B7D"/>
    <w:rsid w:val="00D50172"/>
    <w:rsid w:val="00D636B1"/>
    <w:rsid w:val="00D84571"/>
    <w:rsid w:val="00D8475F"/>
    <w:rsid w:val="00D87E8A"/>
    <w:rsid w:val="00D96E61"/>
    <w:rsid w:val="00DA11ED"/>
    <w:rsid w:val="00DA5185"/>
    <w:rsid w:val="00DA5E9B"/>
    <w:rsid w:val="00DA7CA7"/>
    <w:rsid w:val="00DB0705"/>
    <w:rsid w:val="00DB4AA0"/>
    <w:rsid w:val="00DB6C06"/>
    <w:rsid w:val="00DD6033"/>
    <w:rsid w:val="00DE35F8"/>
    <w:rsid w:val="00DE3A35"/>
    <w:rsid w:val="00E0647E"/>
    <w:rsid w:val="00E126EC"/>
    <w:rsid w:val="00E30347"/>
    <w:rsid w:val="00E374A9"/>
    <w:rsid w:val="00E42FF9"/>
    <w:rsid w:val="00E50D52"/>
    <w:rsid w:val="00E56AAD"/>
    <w:rsid w:val="00E64763"/>
    <w:rsid w:val="00E66776"/>
    <w:rsid w:val="00E86823"/>
    <w:rsid w:val="00E86B22"/>
    <w:rsid w:val="00EB6EC2"/>
    <w:rsid w:val="00ED120B"/>
    <w:rsid w:val="00ED5C90"/>
    <w:rsid w:val="00EE6DE0"/>
    <w:rsid w:val="00EF7E2B"/>
    <w:rsid w:val="00F009A5"/>
    <w:rsid w:val="00F0203D"/>
    <w:rsid w:val="00F0746A"/>
    <w:rsid w:val="00F077C7"/>
    <w:rsid w:val="00F244F7"/>
    <w:rsid w:val="00F30D40"/>
    <w:rsid w:val="00F36963"/>
    <w:rsid w:val="00F52551"/>
    <w:rsid w:val="00F761B5"/>
    <w:rsid w:val="00F93694"/>
    <w:rsid w:val="00FD1702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DEDD4"/>
  <w15:chartTrackingRefBased/>
  <w15:docId w15:val="{173F20AC-63AD-49CF-99E7-69730204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Heading2">
    <w:name w:val="heading 2"/>
    <w:basedOn w:val="Normal"/>
    <w:next w:val="Normal"/>
    <w:link w:val="Heading2Char"/>
    <w:qFormat/>
    <w:rsid w:val="00E126EC"/>
    <w:pPr>
      <w:keepNext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26EC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NormalWeb1">
    <w:name w:val="Normal (Web)1"/>
    <w:basedOn w:val="Normal"/>
    <w:rsid w:val="00E126EC"/>
    <w:pPr>
      <w:spacing w:before="100" w:beforeAutospacing="1" w:after="100" w:afterAutospacing="1"/>
    </w:pPr>
    <w:rPr>
      <w:rFonts w:ascii="Arial" w:hAnsi="Arial" w:cs="Arial"/>
      <w:lang w:val="en-GB"/>
    </w:rPr>
  </w:style>
  <w:style w:type="paragraph" w:customStyle="1" w:styleId="AQHSub-1">
    <w:name w:val="AQH Sub-1"/>
    <w:basedOn w:val="Heading2"/>
    <w:qFormat/>
    <w:rsid w:val="00E126EC"/>
    <w:pPr>
      <w:numPr>
        <w:numId w:val="2"/>
      </w:numPr>
      <w:ind w:hanging="72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95"/>
    <w:rPr>
      <w:rFonts w:ascii="Segoe UI" w:eastAsia="Times New Roman" w:hAnsi="Segoe UI" w:cs="Segoe UI"/>
      <w:sz w:val="18"/>
      <w:szCs w:val="18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FD17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02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FD17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02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B77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IC1</vt:lpstr>
    </vt:vector>
  </TitlesOfParts>
  <Company>University of Wales Trinity Saint David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IC1</dc:title>
  <dc:subject/>
  <dc:creator>Teleri James</dc:creator>
  <cp:keywords/>
  <dc:description/>
  <cp:lastModifiedBy>Teleri James</cp:lastModifiedBy>
  <cp:revision>9</cp:revision>
  <dcterms:created xsi:type="dcterms:W3CDTF">2022-09-28T15:14:00Z</dcterms:created>
  <dcterms:modified xsi:type="dcterms:W3CDTF">2024-10-29T16:31:00Z</dcterms:modified>
</cp:coreProperties>
</file>