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DA590" w14:textId="77777777" w:rsidR="00E84300" w:rsidRDefault="00E84300">
      <w:pPr>
        <w:rPr>
          <w:rFonts w:ascii="Arial" w:hAnsi="Arial" w:cs="Arial"/>
          <w:b/>
          <w:lang w:val="en-GB"/>
        </w:rPr>
      </w:pPr>
    </w:p>
    <w:p w14:paraId="5BD54CB8" w14:textId="77777777" w:rsidR="00BE60F4" w:rsidRDefault="00F65F56">
      <w:pPr>
        <w:rPr>
          <w:rFonts w:ascii="Arial" w:hAnsi="Arial" w:cs="Arial"/>
          <w:b/>
          <w:lang w:val="en-GB"/>
        </w:rPr>
      </w:pPr>
      <w:r>
        <w:rPr>
          <w:rFonts w:ascii="Arial" w:hAnsi="Arial" w:cs="Arial"/>
          <w:b/>
          <w:lang w:val="en-GB"/>
        </w:rPr>
        <w:t xml:space="preserve">Summary of procedures for </w:t>
      </w:r>
      <w:r w:rsidR="00BE60F4">
        <w:rPr>
          <w:rFonts w:ascii="Arial" w:hAnsi="Arial" w:cs="Arial"/>
          <w:b/>
          <w:lang w:val="en-GB"/>
        </w:rPr>
        <w:t>withdrawing a programme from the validation schedule</w:t>
      </w:r>
    </w:p>
    <w:p w14:paraId="20ED0CA8" w14:textId="37C81B3A" w:rsidR="00BE60F4" w:rsidRDefault="0009774B" w:rsidP="00E327C4">
      <w:pPr>
        <w:pStyle w:val="ListParagraph"/>
        <w:numPr>
          <w:ilvl w:val="0"/>
          <w:numId w:val="1"/>
        </w:numPr>
        <w:rPr>
          <w:rFonts w:ascii="Arial" w:hAnsi="Arial" w:cs="Arial"/>
          <w:lang w:val="en-GB"/>
        </w:rPr>
      </w:pPr>
      <w:r>
        <w:rPr>
          <w:rFonts w:ascii="Arial" w:hAnsi="Arial" w:cs="Arial"/>
          <w:lang w:val="en-GB"/>
        </w:rPr>
        <w:t>The a</w:t>
      </w:r>
      <w:r w:rsidR="00BE60F4">
        <w:rPr>
          <w:rFonts w:ascii="Arial" w:hAnsi="Arial" w:cs="Arial"/>
          <w:lang w:val="en-GB"/>
        </w:rPr>
        <w:t xml:space="preserve">nnual validation schedule is prepared by </w:t>
      </w:r>
      <w:r w:rsidR="002A2567">
        <w:rPr>
          <w:rFonts w:ascii="Arial" w:hAnsi="Arial" w:cs="Arial"/>
          <w:lang w:val="en-GB"/>
        </w:rPr>
        <w:t xml:space="preserve">the </w:t>
      </w:r>
      <w:r w:rsidR="00D047D5">
        <w:rPr>
          <w:rFonts w:ascii="Arial" w:hAnsi="Arial" w:cs="Arial"/>
          <w:lang w:val="en-GB"/>
        </w:rPr>
        <w:t>Institute</w:t>
      </w:r>
      <w:r w:rsidR="00BE60F4">
        <w:rPr>
          <w:rFonts w:ascii="Arial" w:hAnsi="Arial" w:cs="Arial"/>
          <w:lang w:val="en-GB"/>
        </w:rPr>
        <w:t xml:space="preserve"> and approved by </w:t>
      </w:r>
      <w:r w:rsidR="00D047D5">
        <w:rPr>
          <w:rFonts w:ascii="Arial" w:hAnsi="Arial" w:cs="Arial"/>
          <w:lang w:val="en-GB"/>
        </w:rPr>
        <w:t xml:space="preserve">the Academic Standards Committee (ASC) </w:t>
      </w:r>
      <w:r w:rsidR="00BE60F4">
        <w:rPr>
          <w:rFonts w:ascii="Arial" w:hAnsi="Arial" w:cs="Arial"/>
          <w:lang w:val="en-GB"/>
        </w:rPr>
        <w:t>early in each academic year</w:t>
      </w:r>
      <w:r w:rsidR="001B1099">
        <w:rPr>
          <w:rFonts w:ascii="Arial" w:hAnsi="Arial" w:cs="Arial"/>
          <w:lang w:val="en-GB"/>
        </w:rPr>
        <w:t>.</w:t>
      </w:r>
    </w:p>
    <w:p w14:paraId="410B4C64" w14:textId="31D9C24A" w:rsidR="00BE60F4" w:rsidRDefault="0009774B" w:rsidP="00E327C4">
      <w:pPr>
        <w:pStyle w:val="ListParagraph"/>
        <w:numPr>
          <w:ilvl w:val="0"/>
          <w:numId w:val="1"/>
        </w:numPr>
        <w:rPr>
          <w:rFonts w:ascii="Arial" w:hAnsi="Arial" w:cs="Arial"/>
          <w:lang w:val="en-GB"/>
        </w:rPr>
      </w:pPr>
      <w:r>
        <w:rPr>
          <w:rFonts w:ascii="Arial" w:hAnsi="Arial" w:cs="Arial"/>
          <w:lang w:val="en-GB"/>
        </w:rPr>
        <w:t>The s</w:t>
      </w:r>
      <w:r w:rsidR="00BE60F4">
        <w:rPr>
          <w:rFonts w:ascii="Arial" w:hAnsi="Arial" w:cs="Arial"/>
          <w:lang w:val="en-GB"/>
        </w:rPr>
        <w:t>chedule includes all programmes planned for validation during the year ahead</w:t>
      </w:r>
      <w:r w:rsidR="001B1099">
        <w:rPr>
          <w:rFonts w:ascii="Arial" w:hAnsi="Arial" w:cs="Arial"/>
          <w:lang w:val="en-GB"/>
        </w:rPr>
        <w:t>/subsequent year</w:t>
      </w:r>
      <w:r w:rsidR="00BE60F4">
        <w:rPr>
          <w:rFonts w:ascii="Arial" w:hAnsi="Arial" w:cs="Arial"/>
          <w:lang w:val="en-GB"/>
        </w:rPr>
        <w:t xml:space="preserve">, with </w:t>
      </w:r>
      <w:r w:rsidR="002A2567">
        <w:rPr>
          <w:rFonts w:ascii="Arial" w:hAnsi="Arial" w:cs="Arial"/>
          <w:lang w:val="en-GB"/>
        </w:rPr>
        <w:t xml:space="preserve">an </w:t>
      </w:r>
      <w:r w:rsidR="00BE60F4">
        <w:rPr>
          <w:rFonts w:ascii="Arial" w:hAnsi="Arial" w:cs="Arial"/>
          <w:lang w:val="en-GB"/>
        </w:rPr>
        <w:t xml:space="preserve">indicative timescale. The expectation is that most will have already been approved by </w:t>
      </w:r>
      <w:r w:rsidR="001B1099">
        <w:rPr>
          <w:rFonts w:ascii="Arial" w:hAnsi="Arial" w:cs="Arial"/>
          <w:lang w:val="en-GB"/>
        </w:rPr>
        <w:t>PCAG</w:t>
      </w:r>
      <w:r w:rsidR="00BE60F4">
        <w:rPr>
          <w:rFonts w:ascii="Arial" w:hAnsi="Arial" w:cs="Arial"/>
          <w:lang w:val="en-GB"/>
        </w:rPr>
        <w:t xml:space="preserve"> via the PV1 process.</w:t>
      </w:r>
    </w:p>
    <w:p w14:paraId="697E7D7B" w14:textId="7E681446" w:rsidR="00BE60F4" w:rsidRDefault="00D047D5" w:rsidP="00E327C4">
      <w:pPr>
        <w:pStyle w:val="ListParagraph"/>
        <w:numPr>
          <w:ilvl w:val="0"/>
          <w:numId w:val="1"/>
        </w:numPr>
        <w:rPr>
          <w:rFonts w:ascii="Arial" w:hAnsi="Arial" w:cs="Arial"/>
          <w:lang w:val="en-GB"/>
        </w:rPr>
      </w:pPr>
      <w:r>
        <w:rPr>
          <w:rFonts w:ascii="Arial" w:hAnsi="Arial" w:cs="Arial"/>
          <w:lang w:val="en-GB"/>
        </w:rPr>
        <w:t>Due to the impact upon marketing and recruitment, s</w:t>
      </w:r>
      <w:r w:rsidR="00BE60F4">
        <w:rPr>
          <w:rFonts w:ascii="Arial" w:hAnsi="Arial" w:cs="Arial"/>
          <w:lang w:val="en-GB"/>
        </w:rPr>
        <w:t xml:space="preserve">ubsequent requests to remove a programme from the schedule must be submitted in writing by the </w:t>
      </w:r>
      <w:r>
        <w:rPr>
          <w:rFonts w:ascii="Arial" w:hAnsi="Arial" w:cs="Arial"/>
          <w:lang w:val="en-GB"/>
        </w:rPr>
        <w:t xml:space="preserve">Institute </w:t>
      </w:r>
      <w:r w:rsidR="00BE60F4">
        <w:rPr>
          <w:rFonts w:ascii="Arial" w:hAnsi="Arial" w:cs="Arial"/>
          <w:lang w:val="en-GB"/>
        </w:rPr>
        <w:t xml:space="preserve">to the </w:t>
      </w:r>
      <w:r>
        <w:rPr>
          <w:rFonts w:ascii="Arial" w:hAnsi="Arial" w:cs="Arial"/>
          <w:lang w:val="en-GB"/>
        </w:rPr>
        <w:t xml:space="preserve">Deputy </w:t>
      </w:r>
      <w:r w:rsidR="00A33609">
        <w:rPr>
          <w:rFonts w:ascii="Arial" w:hAnsi="Arial" w:cs="Arial"/>
          <w:lang w:val="en-GB"/>
        </w:rPr>
        <w:t xml:space="preserve">Vice-Chancellor </w:t>
      </w:r>
      <w:r w:rsidR="00BE60F4">
        <w:rPr>
          <w:rFonts w:ascii="Arial" w:hAnsi="Arial" w:cs="Arial"/>
          <w:lang w:val="en-GB"/>
        </w:rPr>
        <w:t>and copied to the Registry and the Academic Office.</w:t>
      </w:r>
    </w:p>
    <w:p w14:paraId="34A0B9C4" w14:textId="77777777" w:rsidR="00BE60F4" w:rsidRDefault="00BE60F4" w:rsidP="00E327C4">
      <w:pPr>
        <w:pStyle w:val="ListParagraph"/>
        <w:numPr>
          <w:ilvl w:val="0"/>
          <w:numId w:val="1"/>
        </w:numPr>
        <w:rPr>
          <w:rFonts w:ascii="Arial" w:hAnsi="Arial" w:cs="Arial"/>
          <w:lang w:val="en-GB"/>
        </w:rPr>
      </w:pPr>
      <w:r>
        <w:rPr>
          <w:rFonts w:ascii="Arial" w:hAnsi="Arial" w:cs="Arial"/>
          <w:lang w:val="en-GB"/>
        </w:rPr>
        <w:t xml:space="preserve">If the </w:t>
      </w:r>
      <w:r w:rsidR="00D047D5">
        <w:rPr>
          <w:rFonts w:ascii="Arial" w:hAnsi="Arial" w:cs="Arial"/>
          <w:lang w:val="en-GB"/>
        </w:rPr>
        <w:t xml:space="preserve">DVC </w:t>
      </w:r>
      <w:r>
        <w:rPr>
          <w:rFonts w:ascii="Arial" w:hAnsi="Arial" w:cs="Arial"/>
          <w:lang w:val="en-GB"/>
        </w:rPr>
        <w:t xml:space="preserve">approves the request, the </w:t>
      </w:r>
      <w:r w:rsidR="00D047D5">
        <w:rPr>
          <w:rFonts w:ascii="Arial" w:hAnsi="Arial" w:cs="Arial"/>
          <w:lang w:val="en-GB"/>
        </w:rPr>
        <w:t>Institute</w:t>
      </w:r>
      <w:r>
        <w:rPr>
          <w:rFonts w:ascii="Arial" w:hAnsi="Arial" w:cs="Arial"/>
          <w:lang w:val="en-GB"/>
        </w:rPr>
        <w:t xml:space="preserve"> must submit an amended schedule to the Academic Office for the approval by the Chair of ASC. The schedule must be accompanied by evidence that the withdrawal has been approved by the </w:t>
      </w:r>
      <w:r w:rsidR="00D047D5">
        <w:rPr>
          <w:rFonts w:ascii="Arial" w:hAnsi="Arial" w:cs="Arial"/>
          <w:lang w:val="en-GB"/>
        </w:rPr>
        <w:t>D</w:t>
      </w:r>
      <w:r>
        <w:rPr>
          <w:rFonts w:ascii="Arial" w:hAnsi="Arial" w:cs="Arial"/>
          <w:lang w:val="en-GB"/>
        </w:rPr>
        <w:t>VC.</w:t>
      </w:r>
    </w:p>
    <w:p w14:paraId="15036521" w14:textId="77777777" w:rsidR="00BE60F4" w:rsidRDefault="00BE60F4" w:rsidP="00E327C4">
      <w:pPr>
        <w:pStyle w:val="ListParagraph"/>
        <w:numPr>
          <w:ilvl w:val="0"/>
          <w:numId w:val="1"/>
        </w:numPr>
        <w:rPr>
          <w:rFonts w:ascii="Arial" w:hAnsi="Arial" w:cs="Arial"/>
          <w:lang w:val="en-GB"/>
        </w:rPr>
      </w:pPr>
      <w:r>
        <w:rPr>
          <w:rFonts w:ascii="Arial" w:hAnsi="Arial" w:cs="Arial"/>
          <w:lang w:val="en-GB"/>
        </w:rPr>
        <w:t xml:space="preserve">The Academic Office issues notification to Marketing, Registry and the </w:t>
      </w:r>
      <w:r w:rsidR="00D047D5">
        <w:rPr>
          <w:rFonts w:ascii="Arial" w:hAnsi="Arial" w:cs="Arial"/>
          <w:lang w:val="en-GB"/>
        </w:rPr>
        <w:t>Institute</w:t>
      </w:r>
      <w:r>
        <w:rPr>
          <w:rFonts w:ascii="Arial" w:hAnsi="Arial" w:cs="Arial"/>
          <w:lang w:val="en-GB"/>
        </w:rPr>
        <w:t xml:space="preserve"> using the proforma below.</w:t>
      </w:r>
    </w:p>
    <w:p w14:paraId="3E4B5D0F" w14:textId="77777777" w:rsidR="00D54FEB" w:rsidRDefault="00D54FEB">
      <w:pPr>
        <w:rPr>
          <w:rFonts w:ascii="Arial" w:hAnsi="Arial" w:cs="Arial"/>
          <w:lang w:val="en-GB"/>
        </w:rPr>
      </w:pPr>
    </w:p>
    <w:p w14:paraId="6C3DD985" w14:textId="77777777" w:rsidR="00D54FEB" w:rsidRPr="00D54FEB" w:rsidRDefault="00EF76FC">
      <w:pPr>
        <w:rPr>
          <w:rFonts w:ascii="Arial" w:hAnsi="Arial" w:cs="Arial"/>
          <w:b/>
          <w:lang w:val="en-GB"/>
        </w:rPr>
      </w:pPr>
      <w:r>
        <w:rPr>
          <w:rFonts w:ascii="Arial" w:hAnsi="Arial" w:cs="Arial"/>
          <w:b/>
          <w:lang w:val="en-GB"/>
        </w:rPr>
        <w:t>Proforma for n</w:t>
      </w:r>
      <w:r w:rsidR="00D54FEB" w:rsidRPr="00D54FEB">
        <w:rPr>
          <w:rFonts w:ascii="Arial" w:hAnsi="Arial" w:cs="Arial"/>
          <w:b/>
          <w:lang w:val="en-GB"/>
        </w:rPr>
        <w:t xml:space="preserve">otification of </w:t>
      </w:r>
      <w:r w:rsidR="00BE60F4">
        <w:rPr>
          <w:rFonts w:ascii="Arial" w:hAnsi="Arial" w:cs="Arial"/>
          <w:b/>
          <w:lang w:val="en-GB"/>
        </w:rPr>
        <w:t xml:space="preserve">withdrawal of programme from </w:t>
      </w:r>
      <w:r w:rsidR="00D047D5">
        <w:rPr>
          <w:rFonts w:ascii="Arial" w:hAnsi="Arial" w:cs="Arial"/>
          <w:b/>
          <w:lang w:val="en-GB"/>
        </w:rPr>
        <w:t>Institute</w:t>
      </w:r>
      <w:r w:rsidR="0009774B">
        <w:rPr>
          <w:rFonts w:ascii="Arial" w:hAnsi="Arial" w:cs="Arial"/>
          <w:b/>
          <w:lang w:val="en-GB"/>
        </w:rPr>
        <w:t xml:space="preserve"> </w:t>
      </w:r>
      <w:r w:rsidR="00BE60F4">
        <w:rPr>
          <w:rFonts w:ascii="Arial" w:hAnsi="Arial" w:cs="Arial"/>
          <w:b/>
          <w:lang w:val="en-GB"/>
        </w:rPr>
        <w:t>validation schedule</w:t>
      </w:r>
    </w:p>
    <w:tbl>
      <w:tblPr>
        <w:tblStyle w:val="TableGrid"/>
        <w:tblW w:w="0" w:type="auto"/>
        <w:tblLayout w:type="fixed"/>
        <w:tblLook w:val="04A0" w:firstRow="1" w:lastRow="0" w:firstColumn="1" w:lastColumn="0" w:noHBand="0" w:noVBand="1"/>
      </w:tblPr>
      <w:tblGrid>
        <w:gridCol w:w="4788"/>
        <w:gridCol w:w="4788"/>
      </w:tblGrid>
      <w:tr w:rsidR="00D54FEB" w14:paraId="454CAF31" w14:textId="77777777" w:rsidTr="00D30B75">
        <w:tc>
          <w:tcPr>
            <w:tcW w:w="4788" w:type="dxa"/>
          </w:tcPr>
          <w:p w14:paraId="1BCEB1B0" w14:textId="77777777" w:rsidR="00D54FEB" w:rsidRPr="00D54FEB" w:rsidRDefault="00D54FEB" w:rsidP="00D54FEB">
            <w:pPr>
              <w:spacing w:before="120" w:after="120"/>
              <w:rPr>
                <w:rFonts w:ascii="Arial" w:hAnsi="Arial" w:cs="Arial"/>
                <w:b/>
                <w:lang w:val="en-GB"/>
              </w:rPr>
            </w:pPr>
            <w:r w:rsidRPr="00D54FEB">
              <w:rPr>
                <w:rFonts w:ascii="Arial" w:hAnsi="Arial" w:cs="Arial"/>
                <w:b/>
                <w:lang w:val="en-GB"/>
              </w:rPr>
              <w:t>Programme Title</w:t>
            </w:r>
          </w:p>
        </w:tc>
        <w:tc>
          <w:tcPr>
            <w:tcW w:w="4788" w:type="dxa"/>
          </w:tcPr>
          <w:p w14:paraId="638375D7" w14:textId="77777777" w:rsidR="00D54FEB" w:rsidRDefault="00D54FEB" w:rsidP="00D54FEB">
            <w:pPr>
              <w:spacing w:before="120" w:after="120"/>
              <w:rPr>
                <w:rFonts w:ascii="Arial" w:hAnsi="Arial" w:cs="Arial"/>
                <w:lang w:val="en-GB"/>
              </w:rPr>
            </w:pPr>
          </w:p>
        </w:tc>
      </w:tr>
      <w:tr w:rsidR="00D54FEB" w14:paraId="545146C5" w14:textId="77777777" w:rsidTr="00D30B75">
        <w:tc>
          <w:tcPr>
            <w:tcW w:w="4788" w:type="dxa"/>
          </w:tcPr>
          <w:p w14:paraId="29E9CED5" w14:textId="77777777" w:rsidR="00D54FEB" w:rsidRPr="00D54FEB" w:rsidRDefault="00D047D5" w:rsidP="00BE60F4">
            <w:pPr>
              <w:spacing w:before="120" w:after="120"/>
              <w:rPr>
                <w:rFonts w:ascii="Arial" w:hAnsi="Arial" w:cs="Arial"/>
                <w:b/>
                <w:lang w:val="en-GB"/>
              </w:rPr>
            </w:pPr>
            <w:r>
              <w:rPr>
                <w:rFonts w:ascii="Arial" w:hAnsi="Arial" w:cs="Arial"/>
                <w:b/>
                <w:lang w:val="en-GB"/>
              </w:rPr>
              <w:t>Institute</w:t>
            </w:r>
          </w:p>
        </w:tc>
        <w:tc>
          <w:tcPr>
            <w:tcW w:w="4788" w:type="dxa"/>
          </w:tcPr>
          <w:p w14:paraId="09B087AA" w14:textId="77777777" w:rsidR="00D54FEB" w:rsidRDefault="00D54FEB" w:rsidP="00D54FEB">
            <w:pPr>
              <w:spacing w:before="120" w:after="120"/>
              <w:rPr>
                <w:rFonts w:ascii="Arial" w:hAnsi="Arial" w:cs="Arial"/>
                <w:lang w:val="en-GB"/>
              </w:rPr>
            </w:pPr>
          </w:p>
        </w:tc>
      </w:tr>
      <w:tr w:rsidR="00D54FEB" w14:paraId="18FAFC1D" w14:textId="77777777" w:rsidTr="00D30B75">
        <w:tc>
          <w:tcPr>
            <w:tcW w:w="4788" w:type="dxa"/>
          </w:tcPr>
          <w:p w14:paraId="4D14CE61" w14:textId="77777777" w:rsidR="00D54FEB" w:rsidRPr="00D54FEB" w:rsidRDefault="00BE60F4" w:rsidP="00BE60F4">
            <w:pPr>
              <w:spacing w:before="120" w:after="120"/>
              <w:rPr>
                <w:rFonts w:ascii="Arial" w:hAnsi="Arial" w:cs="Arial"/>
                <w:b/>
                <w:lang w:val="en-GB"/>
              </w:rPr>
            </w:pPr>
            <w:r>
              <w:rPr>
                <w:rFonts w:ascii="Arial" w:hAnsi="Arial" w:cs="Arial"/>
                <w:b/>
                <w:lang w:val="en-GB"/>
              </w:rPr>
              <w:t xml:space="preserve">Revised timescale for submitting programme for validation </w:t>
            </w:r>
            <w:r w:rsidR="00D54FEB" w:rsidRPr="00D54FEB">
              <w:rPr>
                <w:rFonts w:ascii="Arial" w:hAnsi="Arial" w:cs="Arial"/>
                <w:b/>
                <w:lang w:val="en-GB"/>
              </w:rPr>
              <w:t xml:space="preserve">(if </w:t>
            </w:r>
            <w:r>
              <w:rPr>
                <w:rFonts w:ascii="Arial" w:hAnsi="Arial" w:cs="Arial"/>
                <w:b/>
                <w:lang w:val="en-GB"/>
              </w:rPr>
              <w:t>applicable</w:t>
            </w:r>
            <w:r w:rsidR="00D54FEB" w:rsidRPr="00D54FEB">
              <w:rPr>
                <w:rFonts w:ascii="Arial" w:hAnsi="Arial" w:cs="Arial"/>
                <w:b/>
                <w:lang w:val="en-GB"/>
              </w:rPr>
              <w:t>)</w:t>
            </w:r>
          </w:p>
        </w:tc>
        <w:tc>
          <w:tcPr>
            <w:tcW w:w="4788" w:type="dxa"/>
          </w:tcPr>
          <w:p w14:paraId="323E3EC6" w14:textId="77777777" w:rsidR="00D54FEB" w:rsidRDefault="00D54FEB" w:rsidP="00D54FEB">
            <w:pPr>
              <w:spacing w:before="120" w:after="120"/>
              <w:rPr>
                <w:rFonts w:ascii="Arial" w:hAnsi="Arial" w:cs="Arial"/>
                <w:lang w:val="en-GB"/>
              </w:rPr>
            </w:pPr>
          </w:p>
        </w:tc>
      </w:tr>
      <w:tr w:rsidR="00D54FEB" w14:paraId="3257E412" w14:textId="77777777" w:rsidTr="00D30B75">
        <w:tc>
          <w:tcPr>
            <w:tcW w:w="4788" w:type="dxa"/>
          </w:tcPr>
          <w:p w14:paraId="6FA69144" w14:textId="77777777" w:rsidR="00D54FEB" w:rsidRPr="00D54FEB" w:rsidRDefault="00D54FEB" w:rsidP="00D047D5">
            <w:pPr>
              <w:spacing w:before="120" w:after="120"/>
              <w:rPr>
                <w:rFonts w:ascii="Arial" w:hAnsi="Arial" w:cs="Arial"/>
                <w:b/>
                <w:lang w:val="en-GB"/>
              </w:rPr>
            </w:pPr>
            <w:r w:rsidRPr="00D54FEB">
              <w:rPr>
                <w:rFonts w:ascii="Arial" w:hAnsi="Arial" w:cs="Arial"/>
                <w:b/>
                <w:lang w:val="en-GB"/>
              </w:rPr>
              <w:t xml:space="preserve">Date of </w:t>
            </w:r>
            <w:r w:rsidR="00BE60F4">
              <w:rPr>
                <w:rFonts w:ascii="Arial" w:hAnsi="Arial" w:cs="Arial"/>
                <w:b/>
                <w:lang w:val="en-GB"/>
              </w:rPr>
              <w:t>approval by Chair of ASC</w:t>
            </w:r>
          </w:p>
        </w:tc>
        <w:tc>
          <w:tcPr>
            <w:tcW w:w="4788" w:type="dxa"/>
          </w:tcPr>
          <w:p w14:paraId="641FC866" w14:textId="77777777" w:rsidR="00D54FEB" w:rsidRDefault="00D54FEB" w:rsidP="00D54FEB">
            <w:pPr>
              <w:spacing w:before="120" w:after="120"/>
              <w:rPr>
                <w:rFonts w:ascii="Arial" w:hAnsi="Arial" w:cs="Arial"/>
                <w:lang w:val="en-GB"/>
              </w:rPr>
            </w:pPr>
          </w:p>
        </w:tc>
      </w:tr>
      <w:tr w:rsidR="00D54FEB" w14:paraId="334F5E47" w14:textId="77777777" w:rsidTr="00D30B75">
        <w:tc>
          <w:tcPr>
            <w:tcW w:w="4788" w:type="dxa"/>
          </w:tcPr>
          <w:p w14:paraId="70D55968" w14:textId="77777777" w:rsidR="00D54FEB" w:rsidRDefault="00D54FEB" w:rsidP="00D54FEB">
            <w:pPr>
              <w:spacing w:before="120" w:after="120"/>
              <w:rPr>
                <w:rFonts w:ascii="Arial" w:hAnsi="Arial" w:cs="Arial"/>
                <w:b/>
                <w:lang w:val="en-GB"/>
              </w:rPr>
            </w:pPr>
            <w:r>
              <w:rPr>
                <w:rFonts w:ascii="Arial" w:hAnsi="Arial" w:cs="Arial"/>
                <w:b/>
                <w:lang w:val="en-GB"/>
              </w:rPr>
              <w:t>Date notification issued</w:t>
            </w:r>
          </w:p>
        </w:tc>
        <w:tc>
          <w:tcPr>
            <w:tcW w:w="4788" w:type="dxa"/>
          </w:tcPr>
          <w:p w14:paraId="43D3E6F0" w14:textId="77777777" w:rsidR="00D54FEB" w:rsidRDefault="00D54FEB" w:rsidP="00D54FEB">
            <w:pPr>
              <w:spacing w:before="120" w:after="120"/>
              <w:rPr>
                <w:rFonts w:ascii="Arial" w:hAnsi="Arial" w:cs="Arial"/>
                <w:lang w:val="en-GB"/>
              </w:rPr>
            </w:pPr>
          </w:p>
        </w:tc>
      </w:tr>
      <w:tr w:rsidR="00B52649" w14:paraId="5EC16CB5" w14:textId="77777777" w:rsidTr="00D30B75">
        <w:tc>
          <w:tcPr>
            <w:tcW w:w="4788" w:type="dxa"/>
          </w:tcPr>
          <w:p w14:paraId="06E0A283" w14:textId="77777777" w:rsidR="00B52649" w:rsidRDefault="00B52649" w:rsidP="00D54FEB">
            <w:pPr>
              <w:spacing w:before="120" w:after="120"/>
              <w:rPr>
                <w:rFonts w:ascii="Arial" w:hAnsi="Arial" w:cs="Arial"/>
                <w:b/>
                <w:lang w:val="en-GB"/>
              </w:rPr>
            </w:pPr>
            <w:r>
              <w:rPr>
                <w:rFonts w:ascii="Arial" w:hAnsi="Arial" w:cs="Arial"/>
                <w:b/>
                <w:lang w:val="en-GB"/>
              </w:rPr>
              <w:t>Any other relevant information</w:t>
            </w:r>
          </w:p>
        </w:tc>
        <w:tc>
          <w:tcPr>
            <w:tcW w:w="4788" w:type="dxa"/>
          </w:tcPr>
          <w:p w14:paraId="72C73176" w14:textId="77777777" w:rsidR="00B52649" w:rsidRDefault="00B52649" w:rsidP="00D54FEB">
            <w:pPr>
              <w:spacing w:before="120" w:after="120"/>
              <w:rPr>
                <w:rFonts w:ascii="Arial" w:hAnsi="Arial" w:cs="Arial"/>
                <w:lang w:val="en-GB"/>
              </w:rPr>
            </w:pPr>
          </w:p>
        </w:tc>
      </w:tr>
    </w:tbl>
    <w:p w14:paraId="3D744ADF" w14:textId="77777777" w:rsidR="00D54FEB" w:rsidRDefault="00D54FEB">
      <w:pPr>
        <w:rPr>
          <w:rFonts w:ascii="Arial" w:hAnsi="Arial" w:cs="Arial"/>
          <w:lang w:val="en-GB"/>
        </w:rPr>
      </w:pPr>
    </w:p>
    <w:sectPr w:rsidR="00D54FEB" w:rsidSect="00D82CD4">
      <w:headerReference w:type="default" r:id="rId7"/>
      <w:footerReference w:type="default" r:id="rId8"/>
      <w:pgSz w:w="12240" w:h="15840"/>
      <w:pgMar w:top="153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F6C26" w14:textId="77777777" w:rsidR="0075515D" w:rsidRDefault="0075515D" w:rsidP="0075515D">
      <w:pPr>
        <w:spacing w:after="0" w:line="240" w:lineRule="auto"/>
      </w:pPr>
      <w:r>
        <w:separator/>
      </w:r>
    </w:p>
  </w:endnote>
  <w:endnote w:type="continuationSeparator" w:id="0">
    <w:p w14:paraId="2A66511D" w14:textId="77777777" w:rsidR="0075515D" w:rsidRDefault="0075515D" w:rsidP="00755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65D0" w14:textId="62786E45" w:rsidR="0075515D" w:rsidRPr="0075515D" w:rsidRDefault="001B1099">
    <w:pPr>
      <w:pStyle w:val="Footer"/>
      <w:rPr>
        <w:rFonts w:ascii="Arial" w:hAnsi="Arial" w:cs="Arial"/>
        <w:b/>
        <w:lang w:val="en-GB"/>
      </w:rPr>
    </w:pPr>
    <w:r>
      <w:rPr>
        <w:rFonts w:ascii="Arial" w:hAnsi="Arial" w:cs="Arial"/>
        <w:b/>
        <w:lang w:val="en-GB"/>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9352A" w14:textId="77777777" w:rsidR="0075515D" w:rsidRDefault="0075515D" w:rsidP="0075515D">
      <w:pPr>
        <w:spacing w:after="0" w:line="240" w:lineRule="auto"/>
      </w:pPr>
      <w:r>
        <w:separator/>
      </w:r>
    </w:p>
  </w:footnote>
  <w:footnote w:type="continuationSeparator" w:id="0">
    <w:p w14:paraId="48420128" w14:textId="77777777" w:rsidR="0075515D" w:rsidRDefault="0075515D" w:rsidP="00755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567CC" w14:textId="77777777" w:rsidR="00D82CD4" w:rsidRDefault="00D82CD4" w:rsidP="00D82CD4">
    <w:pPr>
      <w:pStyle w:val="Header"/>
      <w:jc w:val="right"/>
    </w:pPr>
    <w:r>
      <w:rPr>
        <w:rFonts w:ascii="Arial" w:hAnsi="Arial" w:cs="Arial"/>
        <w:b/>
        <w:lang w:val="en-GB"/>
      </w:rPr>
      <w:t>APPENDIX PV1c</w:t>
    </w:r>
    <w:r>
      <w:rPr>
        <w:noProof/>
        <w:lang w:val="en-GB" w:eastAsia="en-GB"/>
      </w:rPr>
      <w:t xml:space="preserve"> </w:t>
    </w:r>
    <w:r>
      <w:rPr>
        <w:noProof/>
        <w:lang w:val="en-GB" w:eastAsia="en-GB"/>
      </w:rPr>
      <w:drawing>
        <wp:anchor distT="0" distB="0" distL="114300" distR="114300" simplePos="0" relativeHeight="251658240" behindDoc="0" locked="0" layoutInCell="1" allowOverlap="1" wp14:anchorId="157DFE78" wp14:editId="1D97F54C">
          <wp:simplePos x="0" y="0"/>
          <wp:positionH relativeFrom="margin">
            <wp:posOffset>0</wp:posOffset>
          </wp:positionH>
          <wp:positionV relativeFrom="page">
            <wp:posOffset>179705</wp:posOffset>
          </wp:positionV>
          <wp:extent cx="1790700" cy="60007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90700" cy="6000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67C9D"/>
    <w:multiLevelType w:val="hybridMultilevel"/>
    <w:tmpl w:val="CDFC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50A5E"/>
    <w:multiLevelType w:val="hybridMultilevel"/>
    <w:tmpl w:val="D944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2D6C9A"/>
    <w:multiLevelType w:val="hybridMultilevel"/>
    <w:tmpl w:val="417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0450393">
    <w:abstractNumId w:val="0"/>
  </w:num>
  <w:num w:numId="2" w16cid:durableId="1699161944">
    <w:abstractNumId w:val="1"/>
  </w:num>
  <w:num w:numId="3" w16cid:durableId="728188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4F"/>
    <w:rsid w:val="00012314"/>
    <w:rsid w:val="00047057"/>
    <w:rsid w:val="0009774B"/>
    <w:rsid w:val="000B7F5E"/>
    <w:rsid w:val="00103D4F"/>
    <w:rsid w:val="00191114"/>
    <w:rsid w:val="001B1099"/>
    <w:rsid w:val="001F3D15"/>
    <w:rsid w:val="00294640"/>
    <w:rsid w:val="002A2567"/>
    <w:rsid w:val="002C1E30"/>
    <w:rsid w:val="003973D0"/>
    <w:rsid w:val="0075515D"/>
    <w:rsid w:val="007A3C08"/>
    <w:rsid w:val="008D6FDB"/>
    <w:rsid w:val="00A03EE5"/>
    <w:rsid w:val="00A33609"/>
    <w:rsid w:val="00B22FB4"/>
    <w:rsid w:val="00B52649"/>
    <w:rsid w:val="00B73CE0"/>
    <w:rsid w:val="00B77528"/>
    <w:rsid w:val="00B94DF5"/>
    <w:rsid w:val="00BE60F4"/>
    <w:rsid w:val="00D047D5"/>
    <w:rsid w:val="00D30B75"/>
    <w:rsid w:val="00D54FEB"/>
    <w:rsid w:val="00D82CD4"/>
    <w:rsid w:val="00E327C4"/>
    <w:rsid w:val="00E6020A"/>
    <w:rsid w:val="00E84300"/>
    <w:rsid w:val="00EF76FC"/>
    <w:rsid w:val="00F25A56"/>
    <w:rsid w:val="00F65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537FAE"/>
  <w15:docId w15:val="{4B8CAB95-C242-4BD2-ACFF-9F34DA95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7C4"/>
    <w:pPr>
      <w:ind w:left="720"/>
      <w:contextualSpacing/>
    </w:pPr>
  </w:style>
  <w:style w:type="character" w:styleId="CommentReference">
    <w:name w:val="annotation reference"/>
    <w:basedOn w:val="DefaultParagraphFont"/>
    <w:uiPriority w:val="99"/>
    <w:semiHidden/>
    <w:unhideWhenUsed/>
    <w:rsid w:val="00A03EE5"/>
    <w:rPr>
      <w:sz w:val="16"/>
      <w:szCs w:val="16"/>
    </w:rPr>
  </w:style>
  <w:style w:type="paragraph" w:styleId="CommentText">
    <w:name w:val="annotation text"/>
    <w:basedOn w:val="Normal"/>
    <w:link w:val="CommentTextChar"/>
    <w:uiPriority w:val="99"/>
    <w:semiHidden/>
    <w:unhideWhenUsed/>
    <w:rsid w:val="00A03EE5"/>
    <w:pPr>
      <w:spacing w:line="240" w:lineRule="auto"/>
    </w:pPr>
    <w:rPr>
      <w:sz w:val="20"/>
      <w:szCs w:val="20"/>
    </w:rPr>
  </w:style>
  <w:style w:type="character" w:customStyle="1" w:styleId="CommentTextChar">
    <w:name w:val="Comment Text Char"/>
    <w:basedOn w:val="DefaultParagraphFont"/>
    <w:link w:val="CommentText"/>
    <w:uiPriority w:val="99"/>
    <w:semiHidden/>
    <w:rsid w:val="00A03EE5"/>
    <w:rPr>
      <w:sz w:val="20"/>
      <w:szCs w:val="20"/>
    </w:rPr>
  </w:style>
  <w:style w:type="paragraph" w:styleId="CommentSubject">
    <w:name w:val="annotation subject"/>
    <w:basedOn w:val="CommentText"/>
    <w:next w:val="CommentText"/>
    <w:link w:val="CommentSubjectChar"/>
    <w:uiPriority w:val="99"/>
    <w:semiHidden/>
    <w:unhideWhenUsed/>
    <w:rsid w:val="00A03EE5"/>
    <w:rPr>
      <w:b/>
      <w:bCs/>
    </w:rPr>
  </w:style>
  <w:style w:type="character" w:customStyle="1" w:styleId="CommentSubjectChar">
    <w:name w:val="Comment Subject Char"/>
    <w:basedOn w:val="CommentTextChar"/>
    <w:link w:val="CommentSubject"/>
    <w:uiPriority w:val="99"/>
    <w:semiHidden/>
    <w:rsid w:val="00A03EE5"/>
    <w:rPr>
      <w:b/>
      <w:bCs/>
      <w:sz w:val="20"/>
      <w:szCs w:val="20"/>
    </w:rPr>
  </w:style>
  <w:style w:type="paragraph" w:styleId="BalloonText">
    <w:name w:val="Balloon Text"/>
    <w:basedOn w:val="Normal"/>
    <w:link w:val="BalloonTextChar"/>
    <w:uiPriority w:val="99"/>
    <w:semiHidden/>
    <w:unhideWhenUsed/>
    <w:rsid w:val="00A03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3EE5"/>
    <w:rPr>
      <w:rFonts w:ascii="Tahoma" w:hAnsi="Tahoma" w:cs="Tahoma"/>
      <w:sz w:val="16"/>
      <w:szCs w:val="16"/>
    </w:rPr>
  </w:style>
  <w:style w:type="table" w:styleId="TableGrid">
    <w:name w:val="Table Grid"/>
    <w:basedOn w:val="TableNormal"/>
    <w:uiPriority w:val="59"/>
    <w:rsid w:val="00D54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51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15D"/>
  </w:style>
  <w:style w:type="paragraph" w:styleId="Footer">
    <w:name w:val="footer"/>
    <w:basedOn w:val="Normal"/>
    <w:link w:val="FooterChar"/>
    <w:uiPriority w:val="99"/>
    <w:unhideWhenUsed/>
    <w:rsid w:val="007551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15D"/>
  </w:style>
  <w:style w:type="paragraph" w:styleId="Revision">
    <w:name w:val="Revision"/>
    <w:hidden/>
    <w:uiPriority w:val="99"/>
    <w:semiHidden/>
    <w:rsid w:val="001B10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Appendix PV1c</vt:lpstr>
    </vt:vector>
  </TitlesOfParts>
  <Company>UWTSD</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PV1c</dc:title>
  <dc:creator>Sarah Clark</dc:creator>
  <cp:lastModifiedBy>Teleri James</cp:lastModifiedBy>
  <cp:revision>5</cp:revision>
  <cp:lastPrinted>2014-02-26T16:56:00Z</cp:lastPrinted>
  <dcterms:created xsi:type="dcterms:W3CDTF">2021-08-19T14:38:00Z</dcterms:created>
  <dcterms:modified xsi:type="dcterms:W3CDTF">2023-09-07T15:53:00Z</dcterms:modified>
</cp:coreProperties>
</file>