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7126" w14:textId="67054519" w:rsidR="00924C38" w:rsidRPr="00065334" w:rsidRDefault="001B1490" w:rsidP="00E304A7">
      <w:pPr>
        <w:spacing w:before="240" w:after="120"/>
        <w:rPr>
          <w:rFonts w:ascii="Arial" w:hAnsi="Arial" w:cs="Arial"/>
          <w:b/>
          <w:color w:val="000000" w:themeColor="text1"/>
          <w:sz w:val="24"/>
          <w:szCs w:val="24"/>
        </w:rPr>
      </w:pPr>
      <w:r w:rsidRPr="00065334">
        <w:rPr>
          <w:rFonts w:ascii="Arial" w:hAnsi="Arial" w:cs="Arial"/>
          <w:b/>
          <w:color w:val="000000" w:themeColor="text1"/>
          <w:sz w:val="24"/>
          <w:szCs w:val="24"/>
        </w:rPr>
        <w:t>Employer</w:t>
      </w:r>
      <w:r w:rsidR="00995BDB" w:rsidRPr="00065334">
        <w:rPr>
          <w:rFonts w:ascii="Arial" w:hAnsi="Arial" w:cs="Arial"/>
          <w:b/>
          <w:color w:val="000000" w:themeColor="text1"/>
          <w:sz w:val="24"/>
          <w:szCs w:val="24"/>
        </w:rPr>
        <w:t xml:space="preserve"> Liaison Group (</w:t>
      </w:r>
      <w:r w:rsidRPr="00065334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995BDB" w:rsidRPr="00065334">
        <w:rPr>
          <w:rFonts w:ascii="Arial" w:hAnsi="Arial" w:cs="Arial"/>
          <w:b/>
          <w:color w:val="000000" w:themeColor="text1"/>
          <w:sz w:val="24"/>
          <w:szCs w:val="24"/>
        </w:rPr>
        <w:t>LG)</w:t>
      </w:r>
    </w:p>
    <w:p w14:paraId="713B2DB4" w14:textId="1373B073" w:rsidR="00A15E6E" w:rsidRPr="00065334" w:rsidRDefault="00065334" w:rsidP="00065334">
      <w:pPr>
        <w:spacing w:before="60" w:after="12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95BDB" w:rsidRPr="000653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Terms of Reference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and</w:t>
      </w:r>
      <w:r w:rsidR="00924C38" w:rsidRPr="000653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Membership</w:t>
      </w:r>
    </w:p>
    <w:p w14:paraId="1003FD5A" w14:textId="5844D86F" w:rsidR="0036657A" w:rsidRPr="00065334" w:rsidRDefault="0036657A" w:rsidP="00E304A7">
      <w:pPr>
        <w:pStyle w:val="ListParagraph"/>
        <w:numPr>
          <w:ilvl w:val="0"/>
          <w:numId w:val="1"/>
        </w:numPr>
        <w:tabs>
          <w:tab w:val="left" w:pos="1701"/>
        </w:tabs>
        <w:spacing w:before="120" w:after="240" w:line="240" w:lineRule="auto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065334">
        <w:rPr>
          <w:rFonts w:ascii="Arial" w:hAnsi="Arial" w:cs="Arial"/>
          <w:b/>
          <w:color w:val="000000" w:themeColor="text1"/>
        </w:rPr>
        <w:t>Background</w:t>
      </w:r>
    </w:p>
    <w:p w14:paraId="7374922D" w14:textId="5D19A6F0" w:rsidR="006B3152" w:rsidRPr="007766C6" w:rsidRDefault="006B3152" w:rsidP="00534C34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UWTSD </w:t>
      </w:r>
      <w:r w:rsidR="0075141B">
        <w:rPr>
          <w:rFonts w:ascii="Arial" w:hAnsi="Arial" w:cs="Arial"/>
        </w:rPr>
        <w:t>Employability Strategy</w:t>
      </w:r>
      <w:r w:rsidR="00964E21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sets out the </w:t>
      </w:r>
      <w:r w:rsidR="0075141B">
        <w:rPr>
          <w:rFonts w:ascii="Arial" w:hAnsi="Arial" w:cs="Arial"/>
        </w:rPr>
        <w:t>employability objectives.</w:t>
      </w:r>
      <w:r>
        <w:rPr>
          <w:rFonts w:ascii="Arial" w:hAnsi="Arial" w:cs="Arial"/>
        </w:rPr>
        <w:t xml:space="preserve"> </w:t>
      </w:r>
    </w:p>
    <w:p w14:paraId="213A4F4E" w14:textId="13DF8F6C" w:rsidR="00CD30B8" w:rsidRPr="004840B7" w:rsidRDefault="0006713D" w:rsidP="00534C34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173DAC02">
        <w:rPr>
          <w:rFonts w:ascii="Arial" w:hAnsi="Arial" w:cs="Arial"/>
        </w:rPr>
        <w:t>The strategy requires a</w:t>
      </w:r>
      <w:r w:rsidR="00CD30B8" w:rsidRPr="173DAC02">
        <w:rPr>
          <w:rFonts w:ascii="Arial" w:hAnsi="Arial" w:cs="Arial"/>
        </w:rPr>
        <w:t xml:space="preserve">ll curriculum areas </w:t>
      </w:r>
      <w:r w:rsidRPr="173DAC02">
        <w:rPr>
          <w:rFonts w:ascii="Arial" w:hAnsi="Arial" w:cs="Arial"/>
        </w:rPr>
        <w:t xml:space="preserve">to </w:t>
      </w:r>
      <w:r w:rsidR="00CD30B8" w:rsidRPr="173DAC02">
        <w:rPr>
          <w:rFonts w:ascii="Arial" w:hAnsi="Arial" w:cs="Arial"/>
        </w:rPr>
        <w:t>maintain effec</w:t>
      </w:r>
      <w:r w:rsidR="00CD30B8" w:rsidRPr="173DAC02">
        <w:rPr>
          <w:rFonts w:ascii="Tahoma" w:hAnsi="Tahoma" w:cs="Tahoma"/>
        </w:rPr>
        <w:t>ti</w:t>
      </w:r>
      <w:r w:rsidR="00CD30B8" w:rsidRPr="173DAC02">
        <w:rPr>
          <w:rFonts w:ascii="Arial" w:hAnsi="Arial" w:cs="Arial"/>
        </w:rPr>
        <w:t xml:space="preserve">ve employer liaison groups </w:t>
      </w:r>
      <w:r w:rsidR="009350AF" w:rsidRPr="173DAC02">
        <w:rPr>
          <w:rFonts w:ascii="Arial" w:hAnsi="Arial" w:cs="Arial"/>
        </w:rPr>
        <w:t>(</w:t>
      </w:r>
      <w:r w:rsidR="00CD30B8" w:rsidRPr="173DAC02">
        <w:rPr>
          <w:rFonts w:ascii="Arial" w:hAnsi="Arial" w:cs="Arial"/>
        </w:rPr>
        <w:t xml:space="preserve">or </w:t>
      </w:r>
      <w:r w:rsidR="008D1D7C" w:rsidRPr="173DAC02">
        <w:rPr>
          <w:rFonts w:ascii="Arial" w:hAnsi="Arial" w:cs="Arial"/>
        </w:rPr>
        <w:t xml:space="preserve">approved </w:t>
      </w:r>
      <w:r w:rsidR="00CD30B8" w:rsidRPr="173DAC02">
        <w:rPr>
          <w:rFonts w:ascii="Arial" w:hAnsi="Arial" w:cs="Arial"/>
        </w:rPr>
        <w:t>alterna</w:t>
      </w:r>
      <w:r w:rsidR="00CD30B8" w:rsidRPr="173DAC02">
        <w:rPr>
          <w:rFonts w:ascii="Tahoma" w:hAnsi="Tahoma" w:cs="Tahoma"/>
        </w:rPr>
        <w:t>ti</w:t>
      </w:r>
      <w:r w:rsidR="00CD30B8" w:rsidRPr="173DAC02">
        <w:rPr>
          <w:rFonts w:ascii="Arial" w:hAnsi="Arial" w:cs="Arial"/>
        </w:rPr>
        <w:t>ve</w:t>
      </w:r>
      <w:r w:rsidR="005839E1" w:rsidRPr="173DAC02">
        <w:rPr>
          <w:rFonts w:ascii="Arial" w:hAnsi="Arial" w:cs="Arial"/>
        </w:rPr>
        <w:t>/equivalent</w:t>
      </w:r>
      <w:r w:rsidR="00CD30B8" w:rsidRPr="173DAC02">
        <w:rPr>
          <w:rFonts w:ascii="Arial" w:hAnsi="Arial" w:cs="Arial"/>
        </w:rPr>
        <w:t xml:space="preserve"> mechanisms</w:t>
      </w:r>
      <w:r w:rsidR="009350AF" w:rsidRPr="173DAC02">
        <w:rPr>
          <w:rFonts w:ascii="Arial" w:hAnsi="Arial" w:cs="Arial"/>
        </w:rPr>
        <w:t>)</w:t>
      </w:r>
      <w:r w:rsidR="00CD30B8" w:rsidRPr="173DAC02">
        <w:rPr>
          <w:rFonts w:ascii="Arial" w:hAnsi="Arial" w:cs="Arial"/>
        </w:rPr>
        <w:t xml:space="preserve"> to guarantee the employer voice is heard and influences </w:t>
      </w:r>
      <w:r w:rsidR="007F1390" w:rsidRPr="173DAC02">
        <w:rPr>
          <w:rFonts w:ascii="Arial" w:hAnsi="Arial" w:cs="Arial"/>
        </w:rPr>
        <w:t xml:space="preserve">the </w:t>
      </w:r>
      <w:r w:rsidR="00CD30B8" w:rsidRPr="173DAC02">
        <w:rPr>
          <w:rFonts w:ascii="Arial" w:hAnsi="Arial" w:cs="Arial"/>
        </w:rPr>
        <w:t>employability of our students.</w:t>
      </w:r>
      <w:r w:rsidR="004840B7" w:rsidRPr="173DAC02">
        <w:rPr>
          <w:rFonts w:ascii="Arial" w:hAnsi="Arial" w:cs="Arial"/>
        </w:rPr>
        <w:t xml:space="preserve"> </w:t>
      </w:r>
      <w:r w:rsidR="00E57368" w:rsidRPr="173DAC02">
        <w:rPr>
          <w:rFonts w:ascii="Arial" w:hAnsi="Arial" w:cs="Arial"/>
        </w:rPr>
        <w:t>It is necessary for each</w:t>
      </w:r>
      <w:r w:rsidR="3D807EEA" w:rsidRPr="173DAC02">
        <w:rPr>
          <w:rFonts w:ascii="Arial" w:hAnsi="Arial" w:cs="Arial"/>
        </w:rPr>
        <w:t xml:space="preserve"> Academic</w:t>
      </w:r>
      <w:r w:rsidR="00E57368" w:rsidRPr="173DAC02">
        <w:rPr>
          <w:rFonts w:ascii="Arial" w:hAnsi="Arial" w:cs="Arial"/>
        </w:rPr>
        <w:t xml:space="preserve"> Discipline to have at least one ELG, but there may be </w:t>
      </w:r>
      <w:r w:rsidR="00E24281" w:rsidRPr="173DAC02">
        <w:rPr>
          <w:rFonts w:ascii="Arial" w:hAnsi="Arial" w:cs="Arial"/>
        </w:rPr>
        <w:t xml:space="preserve">more. </w:t>
      </w:r>
      <w:r w:rsidR="004C760B" w:rsidRPr="173DAC02">
        <w:rPr>
          <w:rFonts w:ascii="Arial" w:hAnsi="Arial" w:cs="Arial"/>
        </w:rPr>
        <w:t>T</w:t>
      </w:r>
      <w:r w:rsidR="00CD30B8" w:rsidRPr="173DAC02">
        <w:rPr>
          <w:rFonts w:ascii="Arial" w:hAnsi="Arial" w:cs="Arial"/>
        </w:rPr>
        <w:t xml:space="preserve">he </w:t>
      </w:r>
      <w:r w:rsidR="267D4F4C" w:rsidRPr="173DAC02">
        <w:rPr>
          <w:rFonts w:ascii="Arial" w:hAnsi="Arial" w:cs="Arial"/>
        </w:rPr>
        <w:t>outcomes</w:t>
      </w:r>
      <w:r w:rsidR="008B5D1D" w:rsidRPr="173DAC02">
        <w:rPr>
          <w:rFonts w:ascii="Arial" w:hAnsi="Arial" w:cs="Arial"/>
        </w:rPr>
        <w:t xml:space="preserve"> </w:t>
      </w:r>
      <w:r w:rsidR="00CD30B8" w:rsidRPr="173DAC02">
        <w:rPr>
          <w:rFonts w:ascii="Arial" w:hAnsi="Arial" w:cs="Arial"/>
        </w:rPr>
        <w:t xml:space="preserve">of </w:t>
      </w:r>
      <w:r w:rsidR="008B5D1D" w:rsidRPr="173DAC02">
        <w:rPr>
          <w:rFonts w:ascii="Arial" w:hAnsi="Arial" w:cs="Arial"/>
        </w:rPr>
        <w:t xml:space="preserve">the </w:t>
      </w:r>
      <w:r w:rsidR="00CD30B8" w:rsidRPr="173DAC02">
        <w:rPr>
          <w:rFonts w:ascii="Arial" w:hAnsi="Arial" w:cs="Arial"/>
        </w:rPr>
        <w:t>employer liaison groups</w:t>
      </w:r>
      <w:r w:rsidR="267D4F4C" w:rsidRPr="173DAC02">
        <w:rPr>
          <w:rFonts w:ascii="Arial" w:hAnsi="Arial" w:cs="Arial"/>
        </w:rPr>
        <w:t>, which may take the form of minutes of the meeting,</w:t>
      </w:r>
      <w:r w:rsidR="00CD30B8" w:rsidRPr="173DAC02">
        <w:rPr>
          <w:rFonts w:ascii="Arial" w:hAnsi="Arial" w:cs="Arial"/>
        </w:rPr>
        <w:t xml:space="preserve"> </w:t>
      </w:r>
      <w:r w:rsidR="004F25FF" w:rsidRPr="173DAC02">
        <w:rPr>
          <w:rFonts w:ascii="Arial" w:hAnsi="Arial" w:cs="Arial"/>
        </w:rPr>
        <w:t xml:space="preserve">should </w:t>
      </w:r>
      <w:r w:rsidR="00BA7753" w:rsidRPr="173DAC02">
        <w:rPr>
          <w:rFonts w:ascii="Arial" w:hAnsi="Arial" w:cs="Arial"/>
        </w:rPr>
        <w:t xml:space="preserve">be </w:t>
      </w:r>
      <w:r w:rsidR="00CD30B8" w:rsidRPr="173DAC02">
        <w:rPr>
          <w:rFonts w:ascii="Arial" w:hAnsi="Arial" w:cs="Arial"/>
        </w:rPr>
        <w:t xml:space="preserve">reported to </w:t>
      </w:r>
      <w:r w:rsidR="00440C9B" w:rsidRPr="173DAC02">
        <w:rPr>
          <w:rFonts w:ascii="Arial" w:hAnsi="Arial" w:cs="Arial"/>
        </w:rPr>
        <w:t>Discipline</w:t>
      </w:r>
      <w:r w:rsidR="00CD30B8" w:rsidRPr="173DAC02">
        <w:rPr>
          <w:rFonts w:ascii="Arial" w:hAnsi="Arial" w:cs="Arial"/>
        </w:rPr>
        <w:t xml:space="preserve"> Boards for subsequent progression to </w:t>
      </w:r>
      <w:r w:rsidR="004F25FF" w:rsidRPr="173DAC02">
        <w:rPr>
          <w:rFonts w:ascii="Arial" w:hAnsi="Arial" w:cs="Arial"/>
        </w:rPr>
        <w:t xml:space="preserve">Institute Board and </w:t>
      </w:r>
      <w:r w:rsidR="00CD30B8" w:rsidRPr="173DAC02">
        <w:rPr>
          <w:rFonts w:ascii="Arial" w:hAnsi="Arial" w:cs="Arial"/>
        </w:rPr>
        <w:t>the Senate of the University</w:t>
      </w:r>
      <w:r w:rsidR="004F25FF" w:rsidRPr="173DAC02">
        <w:rPr>
          <w:rFonts w:ascii="Arial" w:hAnsi="Arial" w:cs="Arial"/>
        </w:rPr>
        <w:t>.</w:t>
      </w:r>
      <w:r w:rsidR="00675C22" w:rsidRPr="173DAC02">
        <w:rPr>
          <w:rFonts w:ascii="Arial" w:hAnsi="Arial" w:cs="Arial"/>
        </w:rPr>
        <w:t xml:space="preserve"> Employer </w:t>
      </w:r>
      <w:r w:rsidR="00334BA8" w:rsidRPr="173DAC02">
        <w:rPr>
          <w:rFonts w:ascii="Arial" w:hAnsi="Arial" w:cs="Arial"/>
        </w:rPr>
        <w:t>L</w:t>
      </w:r>
      <w:r w:rsidR="00675C22" w:rsidRPr="173DAC02">
        <w:rPr>
          <w:rFonts w:ascii="Arial" w:hAnsi="Arial" w:cs="Arial"/>
        </w:rPr>
        <w:t xml:space="preserve">iaison </w:t>
      </w:r>
      <w:r w:rsidR="00334BA8" w:rsidRPr="173DAC02">
        <w:rPr>
          <w:rFonts w:ascii="Arial" w:hAnsi="Arial" w:cs="Arial"/>
        </w:rPr>
        <w:t>G</w:t>
      </w:r>
      <w:r w:rsidR="00675C22" w:rsidRPr="173DAC02">
        <w:rPr>
          <w:rFonts w:ascii="Arial" w:hAnsi="Arial" w:cs="Arial"/>
        </w:rPr>
        <w:t xml:space="preserve">roups may meet as frequently as required but should meet at least once </w:t>
      </w:r>
      <w:r w:rsidR="00BE734E" w:rsidRPr="173DAC02">
        <w:rPr>
          <w:rFonts w:ascii="Arial" w:hAnsi="Arial" w:cs="Arial"/>
        </w:rPr>
        <w:t>per academic year</w:t>
      </w:r>
      <w:r w:rsidR="00DE7043" w:rsidRPr="173DAC02">
        <w:rPr>
          <w:rFonts w:ascii="Arial" w:hAnsi="Arial" w:cs="Arial"/>
        </w:rPr>
        <w:t>.</w:t>
      </w:r>
    </w:p>
    <w:p w14:paraId="1ECF3EA4" w14:textId="642FFE0D" w:rsidR="00346F36" w:rsidRPr="00065334" w:rsidRDefault="00EA11AB" w:rsidP="00534C34">
      <w:pPr>
        <w:pStyle w:val="ListParagraph"/>
        <w:numPr>
          <w:ilvl w:val="0"/>
          <w:numId w:val="1"/>
        </w:numPr>
        <w:tabs>
          <w:tab w:val="left" w:pos="1701"/>
        </w:tabs>
        <w:spacing w:before="360" w:after="240" w:line="240" w:lineRule="auto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065334">
        <w:rPr>
          <w:rFonts w:ascii="Arial" w:hAnsi="Arial" w:cs="Arial"/>
          <w:b/>
          <w:color w:val="000000" w:themeColor="text1"/>
        </w:rPr>
        <w:t xml:space="preserve">Terms of Reference of </w:t>
      </w:r>
      <w:r w:rsidR="00CD30B8" w:rsidRPr="00065334">
        <w:rPr>
          <w:rFonts w:ascii="Arial" w:hAnsi="Arial" w:cs="Arial"/>
          <w:b/>
          <w:color w:val="000000" w:themeColor="text1"/>
        </w:rPr>
        <w:t>Employer Liaison Groups (ELGs)</w:t>
      </w:r>
    </w:p>
    <w:p w14:paraId="2AA586E5" w14:textId="2BE697B2" w:rsidR="00AD7363" w:rsidRPr="00931FD0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4153B81A">
        <w:rPr>
          <w:rFonts w:ascii="Arial" w:hAnsi="Arial" w:cs="Arial"/>
        </w:rPr>
        <w:t xml:space="preserve">To advise the </w:t>
      </w:r>
      <w:r w:rsidR="00065334">
        <w:rPr>
          <w:rFonts w:ascii="Arial" w:hAnsi="Arial" w:cs="Arial"/>
        </w:rPr>
        <w:t>A</w:t>
      </w:r>
      <w:r w:rsidRPr="4153B81A">
        <w:rPr>
          <w:rFonts w:ascii="Arial" w:hAnsi="Arial" w:cs="Arial"/>
        </w:rPr>
        <w:t xml:space="preserve">cademic </w:t>
      </w:r>
      <w:r w:rsidR="00065334">
        <w:rPr>
          <w:rFonts w:ascii="Arial" w:hAnsi="Arial" w:cs="Arial"/>
        </w:rPr>
        <w:t>D</w:t>
      </w:r>
      <w:r w:rsidRPr="4153B81A">
        <w:rPr>
          <w:rFonts w:ascii="Arial" w:hAnsi="Arial" w:cs="Arial"/>
        </w:rPr>
        <w:t xml:space="preserve">iscipline area on the </w:t>
      </w:r>
      <w:r w:rsidR="003903BF" w:rsidRPr="4153B81A">
        <w:rPr>
          <w:rFonts w:ascii="Arial" w:hAnsi="Arial" w:cs="Arial"/>
        </w:rPr>
        <w:t xml:space="preserve">employment </w:t>
      </w:r>
      <w:r w:rsidR="00CA1C44" w:rsidRPr="4153B81A">
        <w:rPr>
          <w:rFonts w:ascii="Arial" w:hAnsi="Arial" w:cs="Arial"/>
        </w:rPr>
        <w:t>sector</w:t>
      </w:r>
      <w:r w:rsidRPr="4153B81A">
        <w:rPr>
          <w:rFonts w:ascii="Arial" w:hAnsi="Arial" w:cs="Arial"/>
        </w:rPr>
        <w:t xml:space="preserve"> relevance and suitability of the curriculum of its taught programmes, including changes to existing program</w:t>
      </w:r>
      <w:r w:rsidR="00915FCB" w:rsidRPr="4153B81A">
        <w:rPr>
          <w:rFonts w:ascii="Arial" w:hAnsi="Arial" w:cs="Arial"/>
        </w:rPr>
        <w:t>me</w:t>
      </w:r>
      <w:r w:rsidRPr="4153B81A">
        <w:rPr>
          <w:rFonts w:ascii="Arial" w:hAnsi="Arial" w:cs="Arial"/>
        </w:rPr>
        <w:t>s</w:t>
      </w:r>
      <w:r w:rsidR="00D03B86" w:rsidRPr="4153B81A">
        <w:rPr>
          <w:rFonts w:ascii="Arial" w:hAnsi="Arial" w:cs="Arial"/>
        </w:rPr>
        <w:t xml:space="preserve"> of study</w:t>
      </w:r>
      <w:r w:rsidR="009C03C4">
        <w:rPr>
          <w:rFonts w:ascii="Arial" w:hAnsi="Arial" w:cs="Arial"/>
        </w:rPr>
        <w:t xml:space="preserve"> </w:t>
      </w:r>
      <w:r w:rsidR="00AC02CB">
        <w:rPr>
          <w:rFonts w:ascii="Arial" w:hAnsi="Arial" w:cs="Arial"/>
        </w:rPr>
        <w:t xml:space="preserve">or </w:t>
      </w:r>
      <w:r w:rsidR="009C03C4" w:rsidRPr="4153B81A">
        <w:rPr>
          <w:rFonts w:ascii="Arial" w:hAnsi="Arial" w:cs="Arial"/>
        </w:rPr>
        <w:t>suggestions for new</w:t>
      </w:r>
      <w:r w:rsidR="00AC02CB">
        <w:rPr>
          <w:rFonts w:ascii="Arial" w:hAnsi="Arial" w:cs="Arial"/>
        </w:rPr>
        <w:t xml:space="preserve"> programmes</w:t>
      </w:r>
      <w:r w:rsidR="00A60DA7" w:rsidRPr="4153B81A">
        <w:rPr>
          <w:rFonts w:ascii="Arial" w:hAnsi="Arial" w:cs="Arial"/>
        </w:rPr>
        <w:t>;</w:t>
      </w:r>
    </w:p>
    <w:p w14:paraId="21E7A294" w14:textId="7887CB28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6D6054F1">
        <w:rPr>
          <w:rFonts w:ascii="Arial" w:hAnsi="Arial" w:cs="Arial"/>
        </w:rPr>
        <w:t xml:space="preserve">To advise on the development and implementation of the </w:t>
      </w:r>
      <w:r w:rsidR="00931FD0" w:rsidRPr="6D6054F1">
        <w:rPr>
          <w:rFonts w:ascii="Arial" w:hAnsi="Arial" w:cs="Arial"/>
        </w:rPr>
        <w:t>curriculum</w:t>
      </w:r>
      <w:r w:rsidR="00915FCB" w:rsidRPr="6D6054F1">
        <w:rPr>
          <w:rFonts w:ascii="Arial" w:hAnsi="Arial" w:cs="Arial"/>
        </w:rPr>
        <w:t>,</w:t>
      </w:r>
      <w:r w:rsidRPr="6D6054F1">
        <w:rPr>
          <w:rFonts w:ascii="Arial" w:hAnsi="Arial" w:cs="Arial"/>
        </w:rPr>
        <w:t xml:space="preserve"> including </w:t>
      </w:r>
      <w:r w:rsidR="00A528A9" w:rsidRPr="6D6054F1">
        <w:rPr>
          <w:rFonts w:ascii="Arial" w:hAnsi="Arial" w:cs="Arial"/>
        </w:rPr>
        <w:t>a</w:t>
      </w:r>
      <w:r w:rsidRPr="6D6054F1">
        <w:rPr>
          <w:rFonts w:ascii="Arial" w:hAnsi="Arial" w:cs="Arial"/>
        </w:rPr>
        <w:t xml:space="preserve">ssessment </w:t>
      </w:r>
      <w:r w:rsidR="00915FCB" w:rsidRPr="6D6054F1">
        <w:rPr>
          <w:rFonts w:ascii="Arial" w:hAnsi="Arial" w:cs="Arial"/>
        </w:rPr>
        <w:t>strategies</w:t>
      </w:r>
      <w:r w:rsidRPr="6D6054F1">
        <w:rPr>
          <w:rFonts w:ascii="Arial" w:hAnsi="Arial" w:cs="Arial"/>
        </w:rPr>
        <w:t xml:space="preserve">, potential </w:t>
      </w:r>
      <w:r w:rsidR="000E48A0">
        <w:rPr>
          <w:rFonts w:ascii="Arial" w:hAnsi="Arial" w:cs="Arial"/>
        </w:rPr>
        <w:t>student</w:t>
      </w:r>
      <w:r w:rsidR="000E48A0" w:rsidRPr="6D6054F1">
        <w:rPr>
          <w:rFonts w:ascii="Arial" w:hAnsi="Arial" w:cs="Arial"/>
        </w:rPr>
        <w:t xml:space="preserve"> </w:t>
      </w:r>
      <w:r w:rsidRPr="6D6054F1">
        <w:rPr>
          <w:rFonts w:ascii="Arial" w:hAnsi="Arial" w:cs="Arial"/>
        </w:rPr>
        <w:t>numbers</w:t>
      </w:r>
      <w:r w:rsidR="000A3683" w:rsidRPr="6D6054F1">
        <w:rPr>
          <w:rFonts w:ascii="Arial" w:hAnsi="Arial" w:cs="Arial"/>
        </w:rPr>
        <w:t>,</w:t>
      </w:r>
      <w:r w:rsidRPr="6D6054F1">
        <w:rPr>
          <w:rFonts w:ascii="Arial" w:hAnsi="Arial" w:cs="Arial"/>
        </w:rPr>
        <w:t xml:space="preserve"> and workplace skills development opportunities</w:t>
      </w:r>
      <w:r w:rsidR="00A60DA7" w:rsidRPr="6D6054F1">
        <w:rPr>
          <w:rFonts w:ascii="Arial" w:hAnsi="Arial" w:cs="Arial"/>
        </w:rPr>
        <w:t>;</w:t>
      </w:r>
    </w:p>
    <w:p w14:paraId="23DC687B" w14:textId="1F63D74F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15FCB">
        <w:rPr>
          <w:rFonts w:ascii="Arial" w:hAnsi="Arial" w:cs="Arial"/>
        </w:rPr>
        <w:t xml:space="preserve">To identify </w:t>
      </w:r>
      <w:r w:rsidR="00FD5A3A">
        <w:rPr>
          <w:rFonts w:ascii="Arial" w:hAnsi="Arial" w:cs="Arial"/>
        </w:rPr>
        <w:t>trends</w:t>
      </w:r>
      <w:r w:rsidRPr="00915FCB">
        <w:rPr>
          <w:rFonts w:ascii="Arial" w:hAnsi="Arial" w:cs="Arial"/>
        </w:rPr>
        <w:t xml:space="preserve"> and/or concerns of </w:t>
      </w:r>
      <w:r w:rsidR="0004112A">
        <w:rPr>
          <w:rFonts w:ascii="Arial" w:hAnsi="Arial" w:cs="Arial"/>
        </w:rPr>
        <w:t xml:space="preserve">employers </w:t>
      </w:r>
      <w:r w:rsidRPr="00915FCB">
        <w:rPr>
          <w:rFonts w:ascii="Arial" w:hAnsi="Arial" w:cs="Arial"/>
        </w:rPr>
        <w:t xml:space="preserve">which are likely to have an impact on the </w:t>
      </w:r>
      <w:r w:rsidR="00915FCB">
        <w:rPr>
          <w:rFonts w:ascii="Arial" w:hAnsi="Arial" w:cs="Arial"/>
        </w:rPr>
        <w:t>academic</w:t>
      </w:r>
      <w:r w:rsidRPr="00915FCB">
        <w:rPr>
          <w:rFonts w:ascii="Arial" w:hAnsi="Arial" w:cs="Arial"/>
        </w:rPr>
        <w:t xml:space="preserve"> activities</w:t>
      </w:r>
      <w:r w:rsidR="00A60DA7">
        <w:rPr>
          <w:rFonts w:ascii="Arial" w:hAnsi="Arial" w:cs="Arial"/>
        </w:rPr>
        <w:t>;</w:t>
      </w:r>
    </w:p>
    <w:p w14:paraId="76E38B09" w14:textId="598854F5" w:rsidR="00A60DA7" w:rsidRPr="00A60DA7" w:rsidRDefault="00A60DA7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A60DA7">
        <w:rPr>
          <w:rFonts w:ascii="Arial" w:hAnsi="Arial" w:cs="Arial"/>
        </w:rPr>
        <w:t>To explore opportunities for the enhancement of the students’ academic experience</w:t>
      </w:r>
      <w:r w:rsidR="00DB092B">
        <w:rPr>
          <w:rFonts w:ascii="Arial" w:hAnsi="Arial" w:cs="Arial"/>
        </w:rPr>
        <w:t xml:space="preserve"> regarding employability</w:t>
      </w:r>
      <w:r w:rsidR="00AB1F54">
        <w:rPr>
          <w:rFonts w:ascii="Arial" w:hAnsi="Arial" w:cs="Arial"/>
        </w:rPr>
        <w:t>,</w:t>
      </w:r>
      <w:r w:rsidR="00DB092B">
        <w:rPr>
          <w:rFonts w:ascii="Arial" w:hAnsi="Arial" w:cs="Arial"/>
        </w:rPr>
        <w:t xml:space="preserve"> </w:t>
      </w:r>
      <w:r w:rsidRPr="00A60DA7">
        <w:rPr>
          <w:rFonts w:ascii="Arial" w:hAnsi="Arial" w:cs="Arial"/>
        </w:rPr>
        <w:t>and to make recommendations as appropriate;</w:t>
      </w:r>
    </w:p>
    <w:p w14:paraId="1179E813" w14:textId="1093C7D3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6D6054F1">
        <w:rPr>
          <w:rFonts w:ascii="Arial" w:hAnsi="Arial" w:cs="Arial"/>
        </w:rPr>
        <w:t xml:space="preserve">To review the </w:t>
      </w:r>
      <w:r w:rsidR="00C15C5C" w:rsidRPr="6D6054F1">
        <w:rPr>
          <w:rFonts w:ascii="Arial" w:hAnsi="Arial" w:cs="Arial"/>
        </w:rPr>
        <w:t xml:space="preserve">relevance and suitability </w:t>
      </w:r>
      <w:r w:rsidRPr="6D6054F1">
        <w:rPr>
          <w:rFonts w:ascii="Arial" w:hAnsi="Arial" w:cs="Arial"/>
        </w:rPr>
        <w:t xml:space="preserve">of </w:t>
      </w:r>
      <w:r w:rsidR="00C06FDE" w:rsidRPr="6D6054F1">
        <w:rPr>
          <w:rFonts w:ascii="Arial" w:hAnsi="Arial" w:cs="Arial"/>
        </w:rPr>
        <w:t xml:space="preserve">current and planned </w:t>
      </w:r>
      <w:r w:rsidRPr="6D6054F1">
        <w:rPr>
          <w:rFonts w:ascii="Arial" w:hAnsi="Arial" w:cs="Arial"/>
        </w:rPr>
        <w:t xml:space="preserve">projects </w:t>
      </w:r>
      <w:proofErr w:type="gramStart"/>
      <w:r w:rsidRPr="6D6054F1">
        <w:rPr>
          <w:rFonts w:ascii="Arial" w:hAnsi="Arial" w:cs="Arial"/>
        </w:rPr>
        <w:t xml:space="preserve">with </w:t>
      </w:r>
      <w:r w:rsidR="005E20D3" w:rsidRPr="6D6054F1">
        <w:rPr>
          <w:rFonts w:ascii="Arial" w:hAnsi="Arial" w:cs="Arial"/>
        </w:rPr>
        <w:t xml:space="preserve">regard </w:t>
      </w:r>
      <w:r w:rsidRPr="6D6054F1">
        <w:rPr>
          <w:rFonts w:ascii="Arial" w:hAnsi="Arial" w:cs="Arial"/>
        </w:rPr>
        <w:t>to</w:t>
      </w:r>
      <w:proofErr w:type="gramEnd"/>
      <w:r w:rsidRPr="6D6054F1">
        <w:rPr>
          <w:rFonts w:ascii="Arial" w:hAnsi="Arial" w:cs="Arial"/>
        </w:rPr>
        <w:t xml:space="preserve"> </w:t>
      </w:r>
      <w:r w:rsidR="0073353B" w:rsidRPr="6D6054F1">
        <w:rPr>
          <w:rFonts w:ascii="Arial" w:hAnsi="Arial" w:cs="Arial"/>
        </w:rPr>
        <w:t xml:space="preserve">professional </w:t>
      </w:r>
      <w:r w:rsidR="005E20D3" w:rsidRPr="6D6054F1">
        <w:rPr>
          <w:rFonts w:ascii="Arial" w:hAnsi="Arial" w:cs="Arial"/>
        </w:rPr>
        <w:t>practice</w:t>
      </w:r>
      <w:r w:rsidR="00A60DA7" w:rsidRPr="6D6054F1">
        <w:rPr>
          <w:rFonts w:ascii="Arial" w:hAnsi="Arial" w:cs="Arial"/>
        </w:rPr>
        <w:t>;</w:t>
      </w:r>
    </w:p>
    <w:p w14:paraId="0DD65271" w14:textId="591888F5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15FCB">
        <w:rPr>
          <w:rFonts w:ascii="Arial" w:hAnsi="Arial" w:cs="Arial"/>
        </w:rPr>
        <w:t xml:space="preserve">To explore other ways in which the </w:t>
      </w:r>
      <w:r w:rsidR="00A60DA7">
        <w:rPr>
          <w:rFonts w:ascii="Arial" w:hAnsi="Arial" w:cs="Arial"/>
        </w:rPr>
        <w:t>Discipline</w:t>
      </w:r>
      <w:r w:rsidRPr="00915FCB">
        <w:rPr>
          <w:rFonts w:ascii="Arial" w:hAnsi="Arial" w:cs="Arial"/>
        </w:rPr>
        <w:t xml:space="preserve"> and external stakeholders can catalyse, encourage and foster </w:t>
      </w:r>
      <w:r w:rsidR="00AE24A4">
        <w:rPr>
          <w:rFonts w:ascii="Arial" w:hAnsi="Arial" w:cs="Arial"/>
        </w:rPr>
        <w:t>greater</w:t>
      </w:r>
      <w:r w:rsidRPr="00915FCB">
        <w:rPr>
          <w:rFonts w:ascii="Arial" w:hAnsi="Arial" w:cs="Arial"/>
        </w:rPr>
        <w:t xml:space="preserve"> </w:t>
      </w:r>
      <w:r w:rsidR="005E3B91">
        <w:rPr>
          <w:rFonts w:ascii="Arial" w:hAnsi="Arial" w:cs="Arial"/>
        </w:rPr>
        <w:t>employer</w:t>
      </w:r>
      <w:r w:rsidRPr="00915FCB">
        <w:rPr>
          <w:rFonts w:ascii="Arial" w:hAnsi="Arial" w:cs="Arial"/>
        </w:rPr>
        <w:t xml:space="preserve"> involvement in </w:t>
      </w:r>
      <w:r w:rsidR="001249B6">
        <w:rPr>
          <w:rFonts w:ascii="Arial" w:hAnsi="Arial" w:cs="Arial"/>
        </w:rPr>
        <w:t xml:space="preserve">the </w:t>
      </w:r>
      <w:r w:rsidR="00A05FA2">
        <w:rPr>
          <w:rFonts w:ascii="Arial" w:hAnsi="Arial" w:cs="Arial"/>
        </w:rPr>
        <w:t>activities</w:t>
      </w:r>
      <w:r w:rsidR="001249B6">
        <w:rPr>
          <w:rFonts w:ascii="Arial" w:hAnsi="Arial" w:cs="Arial"/>
        </w:rPr>
        <w:t xml:space="preserve"> of the Discipline</w:t>
      </w:r>
      <w:r w:rsidR="00A60DA7">
        <w:rPr>
          <w:rFonts w:ascii="Arial" w:hAnsi="Arial" w:cs="Arial"/>
        </w:rPr>
        <w:t>;</w:t>
      </w:r>
    </w:p>
    <w:p w14:paraId="21F4DAE1" w14:textId="0BF257D2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15FCB">
        <w:rPr>
          <w:rFonts w:ascii="Arial" w:hAnsi="Arial" w:cs="Arial"/>
        </w:rPr>
        <w:t xml:space="preserve">To advise on major strategic initiatives and development of </w:t>
      </w:r>
      <w:r w:rsidR="009F6152">
        <w:rPr>
          <w:rFonts w:ascii="Arial" w:hAnsi="Arial" w:cs="Arial"/>
        </w:rPr>
        <w:t>new</w:t>
      </w:r>
      <w:r w:rsidRPr="00915FCB">
        <w:rPr>
          <w:rFonts w:ascii="Arial" w:hAnsi="Arial" w:cs="Arial"/>
        </w:rPr>
        <w:t xml:space="preserve"> programme</w:t>
      </w:r>
      <w:r w:rsidR="00915FCB" w:rsidRPr="00915FCB">
        <w:rPr>
          <w:rFonts w:ascii="Arial" w:hAnsi="Arial" w:cs="Arial"/>
        </w:rPr>
        <w:t>s</w:t>
      </w:r>
      <w:r w:rsidR="00A60DA7">
        <w:rPr>
          <w:rFonts w:ascii="Arial" w:hAnsi="Arial" w:cs="Arial"/>
        </w:rPr>
        <w:t>;</w:t>
      </w:r>
    </w:p>
    <w:p w14:paraId="75DF37CD" w14:textId="206B19E7" w:rsidR="00AD7363" w:rsidRPr="00915FCB" w:rsidRDefault="00AD7363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15FCB">
        <w:rPr>
          <w:rFonts w:ascii="Arial" w:hAnsi="Arial" w:cs="Arial"/>
        </w:rPr>
        <w:t xml:space="preserve">To identify and support potential </w:t>
      </w:r>
      <w:r w:rsidR="00162243" w:rsidRPr="00915FCB">
        <w:rPr>
          <w:rFonts w:ascii="Arial" w:hAnsi="Arial" w:cs="Arial"/>
        </w:rPr>
        <w:t xml:space="preserve">staff </w:t>
      </w:r>
      <w:r w:rsidRPr="00915FCB">
        <w:rPr>
          <w:rFonts w:ascii="Arial" w:hAnsi="Arial" w:cs="Arial"/>
        </w:rPr>
        <w:t>development opportunities</w:t>
      </w:r>
      <w:r w:rsidR="00A60DA7">
        <w:rPr>
          <w:rFonts w:ascii="Arial" w:hAnsi="Arial" w:cs="Arial"/>
        </w:rPr>
        <w:t>;</w:t>
      </w:r>
    </w:p>
    <w:p w14:paraId="75101720" w14:textId="176A6CE5" w:rsidR="00504E74" w:rsidRPr="00915FCB" w:rsidRDefault="00915FCB" w:rsidP="00065334">
      <w:pPr>
        <w:pStyle w:val="ListParagraph"/>
        <w:numPr>
          <w:ilvl w:val="0"/>
          <w:numId w:val="9"/>
        </w:numPr>
        <w:tabs>
          <w:tab w:val="left" w:pos="1701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D7363" w:rsidRPr="00915FCB">
        <w:rPr>
          <w:rFonts w:ascii="Arial" w:hAnsi="Arial" w:cs="Arial"/>
        </w:rPr>
        <w:t xml:space="preserve">promote </w:t>
      </w:r>
      <w:r w:rsidR="001B32E3">
        <w:rPr>
          <w:rFonts w:ascii="Arial" w:hAnsi="Arial" w:cs="Arial"/>
        </w:rPr>
        <w:t>sector</w:t>
      </w:r>
      <w:r w:rsidR="00937232">
        <w:rPr>
          <w:rFonts w:ascii="Arial" w:hAnsi="Arial" w:cs="Arial"/>
        </w:rPr>
        <w:t>-</w:t>
      </w:r>
      <w:r w:rsidR="00AD7363" w:rsidRPr="00915FCB">
        <w:rPr>
          <w:rFonts w:ascii="Arial" w:hAnsi="Arial" w:cs="Arial"/>
        </w:rPr>
        <w:t>wide collaboration</w:t>
      </w:r>
      <w:r>
        <w:rPr>
          <w:rFonts w:ascii="Arial" w:hAnsi="Arial" w:cs="Arial"/>
        </w:rPr>
        <w:t xml:space="preserve"> </w:t>
      </w:r>
      <w:r w:rsidRPr="00915FCB">
        <w:rPr>
          <w:rFonts w:ascii="Arial" w:hAnsi="Arial" w:cs="Arial"/>
        </w:rPr>
        <w:t xml:space="preserve">to address future </w:t>
      </w:r>
      <w:r w:rsidR="00A17FFB">
        <w:rPr>
          <w:rFonts w:ascii="Arial" w:hAnsi="Arial" w:cs="Arial"/>
        </w:rPr>
        <w:t xml:space="preserve">employment </w:t>
      </w:r>
      <w:r w:rsidRPr="00915FCB">
        <w:rPr>
          <w:rFonts w:ascii="Arial" w:hAnsi="Arial" w:cs="Arial"/>
        </w:rPr>
        <w:t>needs</w:t>
      </w:r>
      <w:r w:rsidR="00AD7363" w:rsidRPr="00915FCB">
        <w:rPr>
          <w:rFonts w:ascii="Arial" w:hAnsi="Arial" w:cs="Arial"/>
        </w:rPr>
        <w:t>.</w:t>
      </w:r>
    </w:p>
    <w:p w14:paraId="001F1FDB" w14:textId="5199B147" w:rsidR="00AD7363" w:rsidRPr="00065334" w:rsidRDefault="00AD7363" w:rsidP="00534C34">
      <w:pPr>
        <w:pStyle w:val="ListParagraph"/>
        <w:numPr>
          <w:ilvl w:val="0"/>
          <w:numId w:val="1"/>
        </w:numPr>
        <w:tabs>
          <w:tab w:val="left" w:pos="1701"/>
        </w:tabs>
        <w:spacing w:before="360" w:after="240" w:line="240" w:lineRule="auto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065334">
        <w:rPr>
          <w:rFonts w:ascii="Arial" w:hAnsi="Arial" w:cs="Arial"/>
          <w:b/>
          <w:color w:val="000000" w:themeColor="text1"/>
        </w:rPr>
        <w:t>Membership</w:t>
      </w:r>
    </w:p>
    <w:p w14:paraId="391F4BEC" w14:textId="0372C2AB" w:rsidR="00B71EE8" w:rsidRPr="00B71EE8" w:rsidRDefault="00B71EE8" w:rsidP="00534C34">
      <w:pPr>
        <w:tabs>
          <w:tab w:val="left" w:pos="1701"/>
        </w:tabs>
        <w:spacing w:before="120" w:after="120" w:line="240" w:lineRule="auto"/>
        <w:ind w:left="1701" w:hanging="1701"/>
        <w:jc w:val="both"/>
        <w:rPr>
          <w:rFonts w:ascii="Arial" w:hAnsi="Arial" w:cs="Arial"/>
        </w:rPr>
      </w:pPr>
      <w:r w:rsidRPr="00B71EE8">
        <w:rPr>
          <w:rFonts w:ascii="Arial" w:hAnsi="Arial" w:cs="Arial"/>
        </w:rPr>
        <w:t>Chair</w:t>
      </w:r>
      <w:r w:rsidR="003A043D">
        <w:rPr>
          <w:rFonts w:ascii="Arial" w:hAnsi="Arial" w:cs="Arial"/>
        </w:rPr>
        <w:tab/>
      </w:r>
      <w:r w:rsidR="001E3F00">
        <w:rPr>
          <w:rFonts w:ascii="Arial" w:hAnsi="Arial" w:cs="Arial"/>
        </w:rPr>
        <w:t>Appointed</w:t>
      </w:r>
      <w:r>
        <w:rPr>
          <w:rFonts w:ascii="Arial" w:hAnsi="Arial" w:cs="Arial"/>
        </w:rPr>
        <w:t xml:space="preserve"> from the membership </w:t>
      </w:r>
      <w:r w:rsidRPr="00B71EE8">
        <w:rPr>
          <w:rFonts w:ascii="Arial" w:hAnsi="Arial" w:cs="Arial"/>
        </w:rPr>
        <w:t>annually</w:t>
      </w:r>
      <w:r w:rsidR="007712B2">
        <w:rPr>
          <w:rFonts w:ascii="Arial" w:hAnsi="Arial" w:cs="Arial"/>
        </w:rPr>
        <w:t xml:space="preserve"> (Co-Chairing </w:t>
      </w:r>
      <w:r w:rsidR="00D6496A">
        <w:rPr>
          <w:rFonts w:ascii="Arial" w:hAnsi="Arial" w:cs="Arial"/>
        </w:rPr>
        <w:t xml:space="preserve">between academics </w:t>
      </w:r>
      <w:r w:rsidR="006942DA">
        <w:rPr>
          <w:rFonts w:ascii="Arial" w:hAnsi="Arial" w:cs="Arial"/>
        </w:rPr>
        <w:t xml:space="preserve">  </w:t>
      </w:r>
      <w:r w:rsidR="00D6496A">
        <w:rPr>
          <w:rFonts w:ascii="Arial" w:hAnsi="Arial" w:cs="Arial"/>
        </w:rPr>
        <w:t xml:space="preserve">and employers </w:t>
      </w:r>
      <w:r w:rsidR="000C316A">
        <w:rPr>
          <w:rFonts w:ascii="Arial" w:hAnsi="Arial" w:cs="Arial"/>
        </w:rPr>
        <w:t xml:space="preserve">is </w:t>
      </w:r>
      <w:r w:rsidR="007712B2">
        <w:rPr>
          <w:rFonts w:ascii="Arial" w:hAnsi="Arial" w:cs="Arial"/>
        </w:rPr>
        <w:t>encouraged)</w:t>
      </w:r>
      <w:r w:rsidR="004D3D87">
        <w:rPr>
          <w:rFonts w:ascii="Arial" w:hAnsi="Arial" w:cs="Arial"/>
        </w:rPr>
        <w:t>.</w:t>
      </w:r>
    </w:p>
    <w:p w14:paraId="4BE47EA7" w14:textId="64A2BA1D" w:rsidR="003A043D" w:rsidRDefault="003A043D" w:rsidP="00534C34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Members</w:t>
      </w:r>
      <w:r>
        <w:rPr>
          <w:rFonts w:ascii="Arial" w:hAnsi="Arial" w:cs="Arial"/>
        </w:rPr>
        <w:tab/>
        <w:t>S</w:t>
      </w:r>
      <w:r w:rsidRPr="003A043D">
        <w:rPr>
          <w:rFonts w:ascii="Arial" w:hAnsi="Arial" w:cs="Arial"/>
        </w:rPr>
        <w:t xml:space="preserve">taff responsible for </w:t>
      </w:r>
      <w:r>
        <w:rPr>
          <w:rFonts w:ascii="Arial" w:hAnsi="Arial" w:cs="Arial"/>
        </w:rPr>
        <w:t xml:space="preserve">the management and/or delivery of </w:t>
      </w:r>
      <w:r w:rsidRPr="003A043D">
        <w:rPr>
          <w:rFonts w:ascii="Arial" w:hAnsi="Arial" w:cs="Arial"/>
        </w:rPr>
        <w:t>the provision</w:t>
      </w:r>
      <w:r w:rsidR="004D3D87">
        <w:rPr>
          <w:rFonts w:ascii="Arial" w:hAnsi="Arial" w:cs="Arial"/>
        </w:rPr>
        <w:t>.</w:t>
      </w:r>
    </w:p>
    <w:p w14:paraId="3F80E9DD" w14:textId="51CAD9E1" w:rsidR="00E52230" w:rsidRDefault="00E52230" w:rsidP="00534C34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Employers from the sector linked to </w:t>
      </w:r>
      <w:r w:rsidRPr="003A043D">
        <w:rPr>
          <w:rFonts w:ascii="Arial" w:hAnsi="Arial" w:cs="Arial"/>
        </w:rPr>
        <w:t>the provision</w:t>
      </w:r>
      <w:r w:rsidR="004D3D87">
        <w:rPr>
          <w:rFonts w:ascii="Arial" w:hAnsi="Arial" w:cs="Arial"/>
        </w:rPr>
        <w:t>.</w:t>
      </w:r>
    </w:p>
    <w:p w14:paraId="3B92DE5C" w14:textId="25BBA7CA" w:rsidR="00223EB3" w:rsidRDefault="00D34259" w:rsidP="00534C34">
      <w:pPr>
        <w:tabs>
          <w:tab w:val="left" w:pos="1701"/>
        </w:tabs>
        <w:spacing w:before="120" w:after="12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Optional</w:t>
      </w:r>
      <w:r w:rsidR="004101A1">
        <w:rPr>
          <w:rFonts w:ascii="Arial" w:hAnsi="Arial" w:cs="Arial"/>
        </w:rPr>
        <w:t xml:space="preserve"> </w:t>
      </w:r>
      <w:r w:rsidR="004101A1">
        <w:rPr>
          <w:rFonts w:ascii="Arial" w:hAnsi="Arial" w:cs="Arial"/>
        </w:rPr>
        <w:tab/>
      </w:r>
      <w:r w:rsidR="00223EB3">
        <w:rPr>
          <w:rFonts w:ascii="Arial" w:hAnsi="Arial" w:cs="Arial"/>
        </w:rPr>
        <w:t xml:space="preserve">Representatives from other </w:t>
      </w:r>
      <w:r w:rsidR="003A22D4">
        <w:rPr>
          <w:rFonts w:ascii="Arial" w:hAnsi="Arial" w:cs="Arial"/>
        </w:rPr>
        <w:t>External Bodies (such as Professional, Statutory and Regulatory Bodies).</w:t>
      </w:r>
    </w:p>
    <w:p w14:paraId="515E27D3" w14:textId="6E15636E" w:rsidR="008B7BF2" w:rsidRDefault="00223EB3" w:rsidP="00534C34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173DAC02">
        <w:rPr>
          <w:rFonts w:ascii="Arial" w:hAnsi="Arial" w:cs="Arial"/>
        </w:rPr>
        <w:t>Alumni</w:t>
      </w:r>
      <w:r w:rsidR="50DD5439">
        <w:rPr>
          <w:rFonts w:ascii="Arial" w:hAnsi="Arial" w:cs="Arial"/>
        </w:rPr>
        <w:t xml:space="preserve"> operating within the sector</w:t>
      </w:r>
      <w:r w:rsidR="004D3D87">
        <w:rPr>
          <w:rFonts w:ascii="Arial" w:hAnsi="Arial" w:cs="Arial"/>
        </w:rPr>
        <w:t>.</w:t>
      </w:r>
    </w:p>
    <w:sectPr w:rsidR="008B7B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9CBA" w14:textId="77777777" w:rsidR="00742ECC" w:rsidRDefault="00742ECC" w:rsidP="003F6F86">
      <w:pPr>
        <w:spacing w:after="0" w:line="240" w:lineRule="auto"/>
      </w:pPr>
      <w:r>
        <w:separator/>
      </w:r>
    </w:p>
  </w:endnote>
  <w:endnote w:type="continuationSeparator" w:id="0">
    <w:p w14:paraId="6231A154" w14:textId="77777777" w:rsidR="00742ECC" w:rsidRDefault="00742ECC" w:rsidP="003F6F86">
      <w:pPr>
        <w:spacing w:after="0" w:line="240" w:lineRule="auto"/>
      </w:pPr>
      <w:r>
        <w:continuationSeparator/>
      </w:r>
    </w:p>
  </w:endnote>
  <w:endnote w:type="continuationNotice" w:id="1">
    <w:p w14:paraId="18A6ACE2" w14:textId="77777777" w:rsidR="00742ECC" w:rsidRDefault="0074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E21A0F" w:rsidRPr="00E21A0F" w14:paraId="1BAB841A" w14:textId="77777777" w:rsidTr="00065334">
      <w:trPr>
        <w:trHeight w:val="151"/>
      </w:trPr>
      <w:tc>
        <w:tcPr>
          <w:tcW w:w="2250" w:type="pct"/>
        </w:tcPr>
        <w:p w14:paraId="1CEA748C" w14:textId="7ACEAD33" w:rsidR="00E21A0F" w:rsidRPr="00E21A0F" w:rsidRDefault="00E21A0F">
          <w:pPr>
            <w:pStyle w:val="Header"/>
            <w:rPr>
              <w:rFonts w:ascii="Arial" w:eastAsiaTheme="majorEastAsia" w:hAnsi="Arial" w:cs="Arial"/>
              <w:b/>
              <w:bCs/>
              <w:color w:val="0070C0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85EB36" w14:textId="66345CDA" w:rsidR="00E21A0F" w:rsidRPr="00E21A0F" w:rsidRDefault="00E21A0F">
          <w:pPr>
            <w:pStyle w:val="NoSpacing"/>
            <w:rPr>
              <w:rFonts w:ascii="Arial" w:eastAsiaTheme="majorEastAsia" w:hAnsi="Arial" w:cs="Arial"/>
              <w:color w:val="0070C0"/>
            </w:rPr>
          </w:pPr>
        </w:p>
      </w:tc>
      <w:tc>
        <w:tcPr>
          <w:tcW w:w="2250" w:type="pct"/>
        </w:tcPr>
        <w:p w14:paraId="519D53FA" w14:textId="558EE6AD" w:rsidR="00E21A0F" w:rsidRPr="00E21A0F" w:rsidRDefault="00E21A0F" w:rsidP="00E21A0F">
          <w:pPr>
            <w:pStyle w:val="Header"/>
            <w:jc w:val="right"/>
            <w:rPr>
              <w:rFonts w:ascii="Arial" w:eastAsiaTheme="majorEastAsia" w:hAnsi="Arial" w:cs="Arial"/>
              <w:b/>
              <w:bCs/>
              <w:color w:val="0070C0"/>
            </w:rPr>
          </w:pPr>
        </w:p>
      </w:tc>
    </w:tr>
    <w:tr w:rsidR="00E21A0F" w:rsidRPr="00E21A0F" w14:paraId="2261A5ED" w14:textId="77777777" w:rsidTr="00065334">
      <w:trPr>
        <w:trHeight w:val="150"/>
      </w:trPr>
      <w:tc>
        <w:tcPr>
          <w:tcW w:w="2250" w:type="pct"/>
        </w:tcPr>
        <w:p w14:paraId="1DF78A9A" w14:textId="77777777" w:rsidR="00E21A0F" w:rsidRPr="00E21A0F" w:rsidRDefault="00E21A0F">
          <w:pPr>
            <w:pStyle w:val="Header"/>
            <w:rPr>
              <w:rFonts w:ascii="Arial" w:eastAsiaTheme="majorEastAsia" w:hAnsi="Arial" w:cs="Arial"/>
              <w:b/>
              <w:bCs/>
              <w:color w:val="0070C0"/>
            </w:rPr>
          </w:pPr>
        </w:p>
      </w:tc>
      <w:tc>
        <w:tcPr>
          <w:tcW w:w="500" w:type="pct"/>
          <w:vMerge/>
        </w:tcPr>
        <w:p w14:paraId="3C8CEF6A" w14:textId="77777777" w:rsidR="00E21A0F" w:rsidRPr="00E21A0F" w:rsidRDefault="00E21A0F">
          <w:pPr>
            <w:pStyle w:val="Header"/>
            <w:jc w:val="center"/>
            <w:rPr>
              <w:rFonts w:ascii="Arial" w:eastAsiaTheme="majorEastAsia" w:hAnsi="Arial" w:cs="Arial"/>
              <w:b/>
              <w:bCs/>
              <w:color w:val="0070C0"/>
            </w:rPr>
          </w:pPr>
        </w:p>
      </w:tc>
      <w:tc>
        <w:tcPr>
          <w:tcW w:w="2250" w:type="pct"/>
        </w:tcPr>
        <w:p w14:paraId="05C99B90" w14:textId="77777777" w:rsidR="00E21A0F" w:rsidRPr="00E21A0F" w:rsidRDefault="00E21A0F">
          <w:pPr>
            <w:pStyle w:val="Header"/>
            <w:rPr>
              <w:rFonts w:ascii="Arial" w:eastAsiaTheme="majorEastAsia" w:hAnsi="Arial" w:cs="Arial"/>
              <w:b/>
              <w:bCs/>
              <w:color w:val="0070C0"/>
            </w:rPr>
          </w:pPr>
        </w:p>
      </w:tc>
    </w:tr>
  </w:tbl>
  <w:p w14:paraId="17273AEF" w14:textId="064C031A" w:rsidR="003F6F86" w:rsidRPr="00065334" w:rsidRDefault="00065334">
    <w:pPr>
      <w:pStyle w:val="Footer"/>
      <w:rPr>
        <w:rFonts w:ascii="Arial" w:hAnsi="Arial" w:cs="Arial"/>
        <w:color w:val="000000" w:themeColor="text1"/>
      </w:rPr>
    </w:pPr>
    <w:r w:rsidRPr="00065334">
      <w:rPr>
        <w:rFonts w:ascii="Arial" w:hAnsi="Arial" w:cs="Arial"/>
        <w:color w:val="000000" w:themeColor="text1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9147" w14:textId="77777777" w:rsidR="00742ECC" w:rsidRDefault="00742ECC" w:rsidP="003F6F86">
      <w:pPr>
        <w:spacing w:after="0" w:line="240" w:lineRule="auto"/>
      </w:pPr>
      <w:r>
        <w:separator/>
      </w:r>
    </w:p>
  </w:footnote>
  <w:footnote w:type="continuationSeparator" w:id="0">
    <w:p w14:paraId="60DED1AC" w14:textId="77777777" w:rsidR="00742ECC" w:rsidRDefault="00742ECC" w:rsidP="003F6F86">
      <w:pPr>
        <w:spacing w:after="0" w:line="240" w:lineRule="auto"/>
      </w:pPr>
      <w:r>
        <w:continuationSeparator/>
      </w:r>
    </w:p>
  </w:footnote>
  <w:footnote w:type="continuationNotice" w:id="1">
    <w:p w14:paraId="335F8C78" w14:textId="77777777" w:rsidR="00742ECC" w:rsidRDefault="00742ECC">
      <w:pPr>
        <w:spacing w:after="0" w:line="240" w:lineRule="auto"/>
      </w:pPr>
    </w:p>
  </w:footnote>
  <w:footnote w:id="2">
    <w:p w14:paraId="3C263A4D" w14:textId="34DF95DF" w:rsidR="00964E21" w:rsidRDefault="00964E21">
      <w:pPr>
        <w:pStyle w:val="FootnoteText"/>
      </w:pPr>
      <w:r>
        <w:rPr>
          <w:rStyle w:val="FootnoteReference"/>
        </w:rPr>
        <w:footnoteRef/>
      </w:r>
      <w:r>
        <w:t xml:space="preserve"> UWTSD </w:t>
      </w:r>
      <w:r w:rsidR="00E304A7">
        <w:t>Strategies and P</w:t>
      </w:r>
      <w:r>
        <w:t xml:space="preserve">olicies are published on the </w:t>
      </w:r>
      <w:hyperlink r:id="rId1" w:history="1">
        <w:r w:rsidRPr="00964E21">
          <w:rPr>
            <w:rStyle w:val="Hyperlink"/>
          </w:rPr>
          <w:t>Corporate Services SharePoint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3FC0" w14:textId="23070251" w:rsidR="00DC6808" w:rsidRPr="00065334" w:rsidRDefault="00065334" w:rsidP="00065334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065334">
      <w:rPr>
        <w:rFonts w:ascii="Arial" w:hAnsi="Arial" w:cs="Arial"/>
        <w:b/>
        <w:bCs/>
        <w:smallCaps/>
        <w:noProof/>
        <w:color w:val="000000" w:themeColor="text1"/>
        <w:sz w:val="38"/>
        <w:szCs w:val="38"/>
        <w:lang w:eastAsia="en-GB"/>
      </w:rPr>
      <w:drawing>
        <wp:anchor distT="0" distB="0" distL="114300" distR="114300" simplePos="0" relativeHeight="251659264" behindDoc="0" locked="0" layoutInCell="1" allowOverlap="1" wp14:anchorId="4B8F3014" wp14:editId="3687C9DD">
          <wp:simplePos x="0" y="0"/>
          <wp:positionH relativeFrom="margin">
            <wp:posOffset>47625</wp:posOffset>
          </wp:positionH>
          <wp:positionV relativeFrom="paragraph">
            <wp:posOffset>-191135</wp:posOffset>
          </wp:positionV>
          <wp:extent cx="1868170" cy="7232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334">
      <w:rPr>
        <w:rFonts w:ascii="Arial" w:hAnsi="Arial" w:cs="Arial"/>
        <w:b/>
        <w:bCs/>
        <w:sz w:val="24"/>
        <w:szCs w:val="24"/>
      </w:rPr>
      <w:t>Appendix CS3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87C"/>
    <w:multiLevelType w:val="hybridMultilevel"/>
    <w:tmpl w:val="DCC05618"/>
    <w:lvl w:ilvl="0" w:tplc="7BA4B0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BAC"/>
    <w:multiLevelType w:val="hybridMultilevel"/>
    <w:tmpl w:val="E9702544"/>
    <w:lvl w:ilvl="0" w:tplc="2CB0E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7BE7"/>
    <w:multiLevelType w:val="hybridMultilevel"/>
    <w:tmpl w:val="265AB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657F6"/>
    <w:multiLevelType w:val="multilevel"/>
    <w:tmpl w:val="C2CCC892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EA7577C"/>
    <w:multiLevelType w:val="hybridMultilevel"/>
    <w:tmpl w:val="C53E5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4E8F"/>
    <w:multiLevelType w:val="hybridMultilevel"/>
    <w:tmpl w:val="2C88C1D8"/>
    <w:lvl w:ilvl="0" w:tplc="2640D2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2A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B87F84"/>
    <w:multiLevelType w:val="hybridMultilevel"/>
    <w:tmpl w:val="891A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808EA"/>
    <w:multiLevelType w:val="hybridMultilevel"/>
    <w:tmpl w:val="C53E5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4382">
    <w:abstractNumId w:val="6"/>
  </w:num>
  <w:num w:numId="2" w16cid:durableId="1770197181">
    <w:abstractNumId w:val="7"/>
  </w:num>
  <w:num w:numId="3" w16cid:durableId="1875579889">
    <w:abstractNumId w:val="0"/>
  </w:num>
  <w:num w:numId="4" w16cid:durableId="1135634562">
    <w:abstractNumId w:val="2"/>
  </w:num>
  <w:num w:numId="5" w16cid:durableId="469175996">
    <w:abstractNumId w:val="8"/>
  </w:num>
  <w:num w:numId="6" w16cid:durableId="1141458663">
    <w:abstractNumId w:val="4"/>
  </w:num>
  <w:num w:numId="7" w16cid:durableId="1488202327">
    <w:abstractNumId w:val="5"/>
  </w:num>
  <w:num w:numId="8" w16cid:durableId="778062147">
    <w:abstractNumId w:val="3"/>
  </w:num>
  <w:num w:numId="9" w16cid:durableId="33823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7A"/>
    <w:rsid w:val="0000718B"/>
    <w:rsid w:val="0004112A"/>
    <w:rsid w:val="000621B4"/>
    <w:rsid w:val="00065334"/>
    <w:rsid w:val="0006713D"/>
    <w:rsid w:val="000817C3"/>
    <w:rsid w:val="00094DCC"/>
    <w:rsid w:val="000A3683"/>
    <w:rsid w:val="000A3978"/>
    <w:rsid w:val="000C316A"/>
    <w:rsid w:val="000D00A5"/>
    <w:rsid w:val="000D05B4"/>
    <w:rsid w:val="000E48A0"/>
    <w:rsid w:val="000E5DFC"/>
    <w:rsid w:val="00101A44"/>
    <w:rsid w:val="00113ED7"/>
    <w:rsid w:val="00121101"/>
    <w:rsid w:val="001249B6"/>
    <w:rsid w:val="00131F4F"/>
    <w:rsid w:val="00162243"/>
    <w:rsid w:val="00175F18"/>
    <w:rsid w:val="00182277"/>
    <w:rsid w:val="00185927"/>
    <w:rsid w:val="001B1490"/>
    <w:rsid w:val="001B32E3"/>
    <w:rsid w:val="001E3F00"/>
    <w:rsid w:val="00204F2A"/>
    <w:rsid w:val="00223EB3"/>
    <w:rsid w:val="00252B61"/>
    <w:rsid w:val="00283BC7"/>
    <w:rsid w:val="002F0606"/>
    <w:rsid w:val="0033455F"/>
    <w:rsid w:val="00334BA8"/>
    <w:rsid w:val="00346F36"/>
    <w:rsid w:val="0036657A"/>
    <w:rsid w:val="00387F19"/>
    <w:rsid w:val="003903BF"/>
    <w:rsid w:val="00396E47"/>
    <w:rsid w:val="003A043D"/>
    <w:rsid w:val="003A22D4"/>
    <w:rsid w:val="003E47F4"/>
    <w:rsid w:val="003F6F86"/>
    <w:rsid w:val="004101A1"/>
    <w:rsid w:val="0043382C"/>
    <w:rsid w:val="00440C9B"/>
    <w:rsid w:val="004840B7"/>
    <w:rsid w:val="00493784"/>
    <w:rsid w:val="004A3815"/>
    <w:rsid w:val="004B74D9"/>
    <w:rsid w:val="004B76C5"/>
    <w:rsid w:val="004C760B"/>
    <w:rsid w:val="004D3D87"/>
    <w:rsid w:val="004E27F3"/>
    <w:rsid w:val="004F25FF"/>
    <w:rsid w:val="00504E74"/>
    <w:rsid w:val="00526A26"/>
    <w:rsid w:val="00534C34"/>
    <w:rsid w:val="005352CC"/>
    <w:rsid w:val="005510C4"/>
    <w:rsid w:val="00556C13"/>
    <w:rsid w:val="00556F12"/>
    <w:rsid w:val="005839E1"/>
    <w:rsid w:val="00594A40"/>
    <w:rsid w:val="005A10A0"/>
    <w:rsid w:val="005B7558"/>
    <w:rsid w:val="005C2DC6"/>
    <w:rsid w:val="005E20D3"/>
    <w:rsid w:val="005E3B91"/>
    <w:rsid w:val="005F3867"/>
    <w:rsid w:val="00613870"/>
    <w:rsid w:val="00636CF6"/>
    <w:rsid w:val="00640DC2"/>
    <w:rsid w:val="00660BB7"/>
    <w:rsid w:val="00671F32"/>
    <w:rsid w:val="00675C22"/>
    <w:rsid w:val="00682E59"/>
    <w:rsid w:val="006942DA"/>
    <w:rsid w:val="006951F6"/>
    <w:rsid w:val="006955F2"/>
    <w:rsid w:val="0069629E"/>
    <w:rsid w:val="006A3032"/>
    <w:rsid w:val="006B3152"/>
    <w:rsid w:val="006E5DDD"/>
    <w:rsid w:val="00726509"/>
    <w:rsid w:val="0073353B"/>
    <w:rsid w:val="00742ECC"/>
    <w:rsid w:val="00744612"/>
    <w:rsid w:val="0075141B"/>
    <w:rsid w:val="0075244E"/>
    <w:rsid w:val="00757923"/>
    <w:rsid w:val="007712B2"/>
    <w:rsid w:val="007766C6"/>
    <w:rsid w:val="007C3B65"/>
    <w:rsid w:val="007C4CD4"/>
    <w:rsid w:val="007D576C"/>
    <w:rsid w:val="007F1390"/>
    <w:rsid w:val="0081461F"/>
    <w:rsid w:val="0081606E"/>
    <w:rsid w:val="00822070"/>
    <w:rsid w:val="00825015"/>
    <w:rsid w:val="0089119F"/>
    <w:rsid w:val="008B38FD"/>
    <w:rsid w:val="008B5D1D"/>
    <w:rsid w:val="008B7BF2"/>
    <w:rsid w:val="008D05B5"/>
    <w:rsid w:val="008D1D7C"/>
    <w:rsid w:val="008E2522"/>
    <w:rsid w:val="00904449"/>
    <w:rsid w:val="00915FCB"/>
    <w:rsid w:val="00924C38"/>
    <w:rsid w:val="00931FD0"/>
    <w:rsid w:val="009350AF"/>
    <w:rsid w:val="00937232"/>
    <w:rsid w:val="009544BB"/>
    <w:rsid w:val="00962032"/>
    <w:rsid w:val="00964E21"/>
    <w:rsid w:val="00986649"/>
    <w:rsid w:val="00995546"/>
    <w:rsid w:val="00995BDB"/>
    <w:rsid w:val="009A70C7"/>
    <w:rsid w:val="009C03C4"/>
    <w:rsid w:val="009F6152"/>
    <w:rsid w:val="00A037BC"/>
    <w:rsid w:val="00A05FA2"/>
    <w:rsid w:val="00A15E6E"/>
    <w:rsid w:val="00A17FFB"/>
    <w:rsid w:val="00A37C8D"/>
    <w:rsid w:val="00A528A9"/>
    <w:rsid w:val="00A60DA7"/>
    <w:rsid w:val="00A6139C"/>
    <w:rsid w:val="00A67C88"/>
    <w:rsid w:val="00AB1F54"/>
    <w:rsid w:val="00AB5AF4"/>
    <w:rsid w:val="00AC02CB"/>
    <w:rsid w:val="00AD7363"/>
    <w:rsid w:val="00AE24A4"/>
    <w:rsid w:val="00AF6E77"/>
    <w:rsid w:val="00B05637"/>
    <w:rsid w:val="00B16DEC"/>
    <w:rsid w:val="00B27D26"/>
    <w:rsid w:val="00B62819"/>
    <w:rsid w:val="00B7109B"/>
    <w:rsid w:val="00B71EE8"/>
    <w:rsid w:val="00B9393D"/>
    <w:rsid w:val="00BA7753"/>
    <w:rsid w:val="00BB1FEE"/>
    <w:rsid w:val="00BE3AAE"/>
    <w:rsid w:val="00BE734E"/>
    <w:rsid w:val="00BF5C94"/>
    <w:rsid w:val="00C06FDE"/>
    <w:rsid w:val="00C150ED"/>
    <w:rsid w:val="00C15C5C"/>
    <w:rsid w:val="00C33D2A"/>
    <w:rsid w:val="00C3495E"/>
    <w:rsid w:val="00C60405"/>
    <w:rsid w:val="00C705AF"/>
    <w:rsid w:val="00C801B1"/>
    <w:rsid w:val="00CA1C44"/>
    <w:rsid w:val="00CA420E"/>
    <w:rsid w:val="00CD30B8"/>
    <w:rsid w:val="00CE097E"/>
    <w:rsid w:val="00CE3084"/>
    <w:rsid w:val="00D033E8"/>
    <w:rsid w:val="00D03B86"/>
    <w:rsid w:val="00D058E0"/>
    <w:rsid w:val="00D33E3B"/>
    <w:rsid w:val="00D34259"/>
    <w:rsid w:val="00D6496A"/>
    <w:rsid w:val="00D87F2D"/>
    <w:rsid w:val="00DB092B"/>
    <w:rsid w:val="00DC6808"/>
    <w:rsid w:val="00DE7043"/>
    <w:rsid w:val="00E05EF8"/>
    <w:rsid w:val="00E10015"/>
    <w:rsid w:val="00E21A0F"/>
    <w:rsid w:val="00E24281"/>
    <w:rsid w:val="00E304A7"/>
    <w:rsid w:val="00E34587"/>
    <w:rsid w:val="00E3592C"/>
    <w:rsid w:val="00E43984"/>
    <w:rsid w:val="00E45598"/>
    <w:rsid w:val="00E52230"/>
    <w:rsid w:val="00E557E6"/>
    <w:rsid w:val="00E57368"/>
    <w:rsid w:val="00E80605"/>
    <w:rsid w:val="00E9046E"/>
    <w:rsid w:val="00EA11AB"/>
    <w:rsid w:val="00EA42E4"/>
    <w:rsid w:val="00EB61F7"/>
    <w:rsid w:val="00F13181"/>
    <w:rsid w:val="00F505D7"/>
    <w:rsid w:val="00F56BAA"/>
    <w:rsid w:val="00FD3EED"/>
    <w:rsid w:val="00FD5A3A"/>
    <w:rsid w:val="0E2F0960"/>
    <w:rsid w:val="173DAC02"/>
    <w:rsid w:val="19F8B48D"/>
    <w:rsid w:val="1CDBB77C"/>
    <w:rsid w:val="22D1AF20"/>
    <w:rsid w:val="25291CB4"/>
    <w:rsid w:val="267D4F4C"/>
    <w:rsid w:val="2AF38B82"/>
    <w:rsid w:val="3BF0EF0B"/>
    <w:rsid w:val="3D807EEA"/>
    <w:rsid w:val="4133E391"/>
    <w:rsid w:val="4153B81A"/>
    <w:rsid w:val="491326E4"/>
    <w:rsid w:val="493A7048"/>
    <w:rsid w:val="4D75DE9F"/>
    <w:rsid w:val="50DD5439"/>
    <w:rsid w:val="5BE29190"/>
    <w:rsid w:val="5D77C621"/>
    <w:rsid w:val="606AA2C5"/>
    <w:rsid w:val="6D6054F1"/>
    <w:rsid w:val="708A3524"/>
    <w:rsid w:val="72E58C38"/>
    <w:rsid w:val="7B4EB0CF"/>
    <w:rsid w:val="7E6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0812C"/>
  <w15:docId w15:val="{398048F9-875A-43D2-A4AA-F7CAEFB0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86"/>
  </w:style>
  <w:style w:type="paragraph" w:styleId="Footer">
    <w:name w:val="footer"/>
    <w:basedOn w:val="Normal"/>
    <w:link w:val="FooterChar"/>
    <w:uiPriority w:val="99"/>
    <w:unhideWhenUsed/>
    <w:rsid w:val="003F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86"/>
  </w:style>
  <w:style w:type="paragraph" w:styleId="NoSpacing">
    <w:name w:val="No Spacing"/>
    <w:link w:val="NoSpacingChar"/>
    <w:uiPriority w:val="1"/>
    <w:qFormat/>
    <w:rsid w:val="00E21A0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21A0F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7524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1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05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73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345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46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6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5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EF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5EF8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E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E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wtsd.sharepoint.com/corporate-services/SitePages/Policies%20and%20Strategie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9C87BB8D346904CC4E65218BB50" ma:contentTypeVersion="6" ma:contentTypeDescription="Create a new document." ma:contentTypeScope="" ma:versionID="8dc5642355eb324afea54dfdf2de6693">
  <xsd:schema xmlns:xsd="http://www.w3.org/2001/XMLSchema" xmlns:xs="http://www.w3.org/2001/XMLSchema" xmlns:p="http://schemas.microsoft.com/office/2006/metadata/properties" xmlns:ns2="7b371449-43eb-435e-a0a2-287b0bfa5005" xmlns:ns3="c608ca5d-542f-47b8-b6cb-a5985d253332" targetNamespace="http://schemas.microsoft.com/office/2006/metadata/properties" ma:root="true" ma:fieldsID="da2fc3b34951579652a176e6db9441bf" ns2:_="" ns3:_="">
    <xsd:import namespace="7b371449-43eb-435e-a0a2-287b0bfa5005"/>
    <xsd:import namespace="c608ca5d-542f-47b8-b6cb-a5985d25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449-43eb-435e-a0a2-287b0bfa5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8ca5d-542f-47b8-b6cb-a5985d25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08ca5d-542f-47b8-b6cb-a5985d253332">
      <UserInfo>
        <DisplayName>Jayne Griffith Parry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E1B530-512A-42A6-AC7C-BC2F827E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1449-43eb-435e-a0a2-287b0bfa5005"/>
    <ds:schemaRef ds:uri="c608ca5d-542f-47b8-b6cb-a5985d25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67AD-FE65-4544-8224-9CE2B518A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054AB-9F7C-4638-9187-9320F0EE0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D92B7-7AB6-45F2-871B-7F7B9448045D}">
  <ds:schemaRefs>
    <ds:schemaRef ds:uri="7b371449-43eb-435e-a0a2-287b0bfa5005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c608ca5d-542f-47b8-b6cb-a5985d25333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CS3 ELG ToR</dc:title>
  <dc:creator>Pole, Rhian</dc:creator>
  <cp:lastModifiedBy>Teleri James</cp:lastModifiedBy>
  <cp:revision>123</cp:revision>
  <dcterms:created xsi:type="dcterms:W3CDTF">2022-11-10T14:09:00Z</dcterms:created>
  <dcterms:modified xsi:type="dcterms:W3CDTF">2025-02-12T12:28:00Z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0x01010079EE99C87BB8D346904CC4E65218BB50</vt:lpwstr>
  </property>
</Properties>
</file>