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1545" w14:textId="77777777" w:rsidR="00D54F83" w:rsidRDefault="00D54F83" w:rsidP="00D54F83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</w:rPr>
      </w:pPr>
    </w:p>
    <w:p w14:paraId="34D5D749" w14:textId="441C3A3B" w:rsidR="0024202D" w:rsidRDefault="0024202D" w:rsidP="00D54F83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</w:rPr>
      </w:pPr>
      <w:r w:rsidRPr="00A406E5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9F2C7C6" wp14:editId="41E69E58">
            <wp:simplePos x="0" y="0"/>
            <wp:positionH relativeFrom="column">
              <wp:posOffset>0</wp:posOffset>
            </wp:positionH>
            <wp:positionV relativeFrom="paragraph">
              <wp:posOffset>145415</wp:posOffset>
            </wp:positionV>
            <wp:extent cx="1809750" cy="723900"/>
            <wp:effectExtent l="0" t="0" r="0" b="0"/>
            <wp:wrapSquare wrapText="bothSides"/>
            <wp:docPr id="1" name="Picture 1" descr="Discover University of Wales Trinity Saint Dav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scover University of Wales Trinity Saint David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149D5E" w14:textId="77777777" w:rsidR="0024202D" w:rsidRDefault="0024202D" w:rsidP="00D54F83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</w:rPr>
      </w:pPr>
    </w:p>
    <w:p w14:paraId="31123925" w14:textId="77777777" w:rsidR="0024202D" w:rsidRDefault="0024202D" w:rsidP="00D54F83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</w:rPr>
      </w:pPr>
    </w:p>
    <w:p w14:paraId="2BE647D3" w14:textId="77777777" w:rsidR="0024202D" w:rsidRDefault="0024202D" w:rsidP="00D54F83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</w:rPr>
      </w:pPr>
    </w:p>
    <w:p w14:paraId="04E60641" w14:textId="0BC0B3B5" w:rsidR="0024202D" w:rsidRDefault="0024202D" w:rsidP="00D54F83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8"/>
          <w:szCs w:val="28"/>
        </w:rPr>
        <w:t>APPENDIX</w:t>
      </w:r>
      <w:r w:rsidRPr="00A85BFE">
        <w:rPr>
          <w:rFonts w:ascii="Arial" w:hAnsi="Arial" w:cs="Arial"/>
          <w:b/>
          <w:sz w:val="28"/>
          <w:szCs w:val="28"/>
        </w:rPr>
        <w:t xml:space="preserve"> </w:t>
      </w:r>
      <w:r w:rsidRPr="00E61D43">
        <w:rPr>
          <w:rFonts w:ascii="Arial" w:hAnsi="Arial" w:cs="Arial"/>
          <w:b/>
          <w:sz w:val="28"/>
          <w:szCs w:val="28"/>
        </w:rPr>
        <w:t>GA36</w:t>
      </w:r>
      <w:r>
        <w:rPr>
          <w:rFonts w:ascii="Arial" w:hAnsi="Arial" w:cs="Arial"/>
          <w:b/>
          <w:sz w:val="28"/>
          <w:szCs w:val="28"/>
        </w:rPr>
        <w:t>g</w:t>
      </w:r>
    </w:p>
    <w:p w14:paraId="7CF12650" w14:textId="77777777" w:rsidR="0024202D" w:rsidRDefault="0024202D" w:rsidP="00D54F83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</w:rPr>
      </w:pPr>
    </w:p>
    <w:p w14:paraId="2645D435" w14:textId="77777777" w:rsidR="0024202D" w:rsidRDefault="0024202D" w:rsidP="00D54F83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</w:rPr>
      </w:pPr>
    </w:p>
    <w:p w14:paraId="6C81A177" w14:textId="77777777" w:rsidR="0024202D" w:rsidRDefault="0024202D" w:rsidP="00D54F83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444"/>
      </w:tblGrid>
      <w:tr w:rsidR="00D54F83" w:rsidRPr="00A406E5" w14:paraId="5BF47C9E" w14:textId="77777777" w:rsidTr="00D54F83">
        <w:tc>
          <w:tcPr>
            <w:tcW w:w="10444" w:type="dxa"/>
            <w:shd w:val="clear" w:color="auto" w:fill="BFBFBF"/>
          </w:tcPr>
          <w:p w14:paraId="252372B6" w14:textId="77777777" w:rsidR="00D54F83" w:rsidRPr="00A406E5" w:rsidRDefault="00D54F83" w:rsidP="00D54F83">
            <w:pPr>
              <w:rPr>
                <w:rFonts w:ascii="Arial" w:hAnsi="Arial" w:cs="Arial"/>
              </w:rPr>
            </w:pPr>
            <w:r w:rsidRPr="00A406E5">
              <w:rPr>
                <w:rFonts w:ascii="Arial" w:hAnsi="Arial" w:cs="Arial"/>
                <w:sz w:val="32"/>
                <w:szCs w:val="32"/>
              </w:rPr>
              <w:br w:type="page"/>
            </w:r>
            <w:r>
              <w:rPr>
                <w:rFonts w:ascii="Arial" w:hAnsi="Arial" w:cs="Arial"/>
                <w:b/>
                <w:caps/>
                <w:sz w:val="40"/>
              </w:rPr>
              <w:t xml:space="preserve">     </w:t>
            </w:r>
            <w:r w:rsidRPr="00A406E5">
              <w:rPr>
                <w:rFonts w:ascii="Arial" w:hAnsi="Arial" w:cs="Arial"/>
                <w:b/>
                <w:caps/>
                <w:sz w:val="40"/>
              </w:rPr>
              <w:t>Student FEEDBACK</w:t>
            </w:r>
            <w:r>
              <w:rPr>
                <w:rFonts w:ascii="Arial" w:hAnsi="Arial" w:cs="Arial"/>
                <w:b/>
                <w:caps/>
                <w:sz w:val="40"/>
              </w:rPr>
              <w:t xml:space="preserve"> FORM</w:t>
            </w:r>
          </w:p>
        </w:tc>
      </w:tr>
    </w:tbl>
    <w:p w14:paraId="4633DB02" w14:textId="77777777" w:rsidR="00D54F83" w:rsidRDefault="00D54F83" w:rsidP="00D54F83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</w:rPr>
      </w:pPr>
    </w:p>
    <w:p w14:paraId="48006F37" w14:textId="265090F0" w:rsidR="00D54F83" w:rsidRPr="00A406E5" w:rsidRDefault="00D54F83" w:rsidP="00D54F83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</w:rPr>
      </w:pPr>
      <w:r w:rsidRPr="00A406E5">
        <w:rPr>
          <w:rFonts w:ascii="Arial" w:hAnsi="Arial" w:cs="Arial"/>
          <w:sz w:val="20"/>
        </w:rPr>
        <w:t>This section details</w:t>
      </w:r>
      <w:r>
        <w:rPr>
          <w:rFonts w:ascii="Arial" w:hAnsi="Arial" w:cs="Arial"/>
          <w:sz w:val="20"/>
        </w:rPr>
        <w:t xml:space="preserve"> t</w:t>
      </w:r>
      <w:r w:rsidRPr="00A406E5">
        <w:rPr>
          <w:rFonts w:ascii="Arial" w:hAnsi="Arial" w:cs="Arial"/>
          <w:sz w:val="20"/>
        </w:rPr>
        <w:t xml:space="preserve">he </w:t>
      </w:r>
      <w:r w:rsidRPr="00A406E5">
        <w:rPr>
          <w:rFonts w:ascii="Arial" w:hAnsi="Arial" w:cs="Arial"/>
          <w:i/>
          <w:sz w:val="20"/>
        </w:rPr>
        <w:t>extent</w:t>
      </w:r>
      <w:r w:rsidRPr="00A406E5">
        <w:rPr>
          <w:rFonts w:ascii="Arial" w:hAnsi="Arial" w:cs="Arial"/>
          <w:sz w:val="20"/>
        </w:rPr>
        <w:t xml:space="preserve"> to which the assessment criteria are demonstrated by you</w:t>
      </w:r>
      <w:r>
        <w:rPr>
          <w:rFonts w:ascii="Arial" w:hAnsi="Arial" w:cs="Arial"/>
          <w:sz w:val="20"/>
        </w:rPr>
        <w:t>, which</w:t>
      </w:r>
      <w:r w:rsidRPr="00A406E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in turn </w:t>
      </w:r>
      <w:r w:rsidRPr="00A406E5">
        <w:rPr>
          <w:rFonts w:ascii="Arial" w:hAnsi="Arial" w:cs="Arial"/>
          <w:sz w:val="20"/>
        </w:rPr>
        <w:t xml:space="preserve">determines your mark. The marks available for each </w:t>
      </w:r>
      <w:r>
        <w:rPr>
          <w:rFonts w:ascii="Arial" w:hAnsi="Arial" w:cs="Arial"/>
          <w:sz w:val="20"/>
        </w:rPr>
        <w:t>category of skill</w:t>
      </w:r>
      <w:r w:rsidRPr="00A406E5">
        <w:rPr>
          <w:rFonts w:ascii="Arial" w:hAnsi="Arial" w:cs="Arial"/>
          <w:sz w:val="20"/>
        </w:rPr>
        <w:t xml:space="preserve"> are shown. </w:t>
      </w:r>
      <w:r>
        <w:rPr>
          <w:rFonts w:ascii="Arial" w:hAnsi="Arial" w:cs="Arial"/>
          <w:sz w:val="20"/>
        </w:rPr>
        <w:t>APA assessors</w:t>
      </w:r>
      <w:r w:rsidRPr="00A406E5">
        <w:rPr>
          <w:rFonts w:ascii="Arial" w:hAnsi="Arial" w:cs="Arial"/>
          <w:sz w:val="20"/>
        </w:rPr>
        <w:t xml:space="preserve"> will use the space provided to comment on the achievement of the task(s), including those areas in which you have performed well and areas that would benefit from development/improvement.</w:t>
      </w:r>
    </w:p>
    <w:p w14:paraId="6CD6CE4D" w14:textId="77777777" w:rsidR="00B264F6" w:rsidRPr="00A406E5" w:rsidRDefault="00B264F6" w:rsidP="00B264F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27" w:type="pct"/>
        <w:tblLayout w:type="fixed"/>
        <w:tblLook w:val="04A0" w:firstRow="1" w:lastRow="0" w:firstColumn="1" w:lastColumn="0" w:noHBand="0" w:noVBand="1"/>
      </w:tblPr>
      <w:tblGrid>
        <w:gridCol w:w="7517"/>
        <w:gridCol w:w="1408"/>
        <w:gridCol w:w="1367"/>
      </w:tblGrid>
      <w:tr w:rsidR="00864FAC" w:rsidRPr="00A406E5" w14:paraId="76A973B1" w14:textId="77777777" w:rsidTr="0024202D">
        <w:trPr>
          <w:trHeight w:val="1002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12379B" w14:textId="77777777" w:rsidR="00864FAC" w:rsidRPr="00A406E5" w:rsidRDefault="00864FAC" w:rsidP="0024202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Generic</w:t>
            </w:r>
            <w:r w:rsidRPr="00A406E5">
              <w:rPr>
                <w:rFonts w:ascii="Arial" w:hAnsi="Arial" w:cs="Arial"/>
                <w:b/>
                <w:sz w:val="22"/>
                <w:szCs w:val="16"/>
              </w:rPr>
              <w:t xml:space="preserve"> Assessment Criteria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14:paraId="4BEC240D" w14:textId="77777777" w:rsidR="00864FAC" w:rsidRPr="00A85BFE" w:rsidRDefault="00864FAC" w:rsidP="0024202D">
            <w:pPr>
              <w:ind w:left="34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5BFE">
              <w:rPr>
                <w:rFonts w:ascii="Arial" w:hAnsi="Arial" w:cs="Arial"/>
                <w:b/>
                <w:sz w:val="18"/>
                <w:szCs w:val="18"/>
              </w:rPr>
              <w:t>Marks available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3D2FF28C" w14:textId="77777777" w:rsidR="00864FAC" w:rsidRPr="00A85BFE" w:rsidRDefault="00864FAC" w:rsidP="0024202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5BFE">
              <w:rPr>
                <w:rFonts w:ascii="Arial" w:hAnsi="Arial" w:cs="Arial"/>
                <w:b/>
                <w:sz w:val="18"/>
                <w:szCs w:val="18"/>
              </w:rPr>
              <w:t xml:space="preserve">Marks </w:t>
            </w:r>
          </w:p>
          <w:p w14:paraId="7378A6F1" w14:textId="77777777" w:rsidR="00864FAC" w:rsidRPr="00A85BFE" w:rsidRDefault="00864FAC" w:rsidP="0024202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5BFE">
              <w:rPr>
                <w:rFonts w:ascii="Arial" w:hAnsi="Arial" w:cs="Arial"/>
                <w:b/>
                <w:sz w:val="18"/>
                <w:szCs w:val="18"/>
              </w:rPr>
              <w:t>awarded</w:t>
            </w:r>
          </w:p>
        </w:tc>
      </w:tr>
      <w:tr w:rsidR="00864FAC" w:rsidRPr="00A406E5" w14:paraId="65C94E55" w14:textId="77777777" w:rsidTr="0024202D">
        <w:trPr>
          <w:trHeight w:val="45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DC84F26" w14:textId="77777777" w:rsidR="00864FAC" w:rsidRPr="00A406E5" w:rsidRDefault="00864FAC" w:rsidP="0024202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1. </w:t>
            </w:r>
            <w:r>
              <w:rPr>
                <w:rFonts w:ascii="Arial" w:hAnsi="Arial" w:cs="Arial"/>
                <w:b/>
              </w:rPr>
              <w:t>Engagement with</w:t>
            </w:r>
            <w:r w:rsidRPr="00A406E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KSBs</w:t>
            </w:r>
          </w:p>
          <w:p w14:paraId="68915CC3" w14:textId="77777777" w:rsidR="00864FAC" w:rsidRPr="00A406E5" w:rsidRDefault="00864FAC" w:rsidP="0024202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406E5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BA09DA0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CBD579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A406E5" w14:paraId="31FEDF70" w14:textId="77777777" w:rsidTr="0024202D">
        <w:trPr>
          <w:trHeight w:val="450"/>
        </w:trPr>
        <w:tc>
          <w:tcPr>
            <w:tcW w:w="3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888B3" w14:textId="09605623" w:rsidR="00473328" w:rsidRPr="00473328" w:rsidRDefault="00473328" w:rsidP="0024202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473328">
              <w:rPr>
                <w:rFonts w:ascii="Arial" w:hAnsi="Arial" w:cs="Arial"/>
                <w:b/>
                <w:bCs/>
                <w:sz w:val="14"/>
                <w:szCs w:val="14"/>
              </w:rPr>
              <w:t>General Prompt</w:t>
            </w:r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r w:rsidRPr="00473328">
              <w:rPr>
                <w:rFonts w:ascii="Arial" w:hAnsi="Arial" w:cs="Arial"/>
                <w:sz w:val="14"/>
                <w:szCs w:val="14"/>
              </w:rPr>
              <w:t>Apprentice shows active engagement with both core and pathway-specific KSBs, applying them with insight and relevance to the OME context. Evidence is drawn from credible sources such as workplace practice, research, technical literature, trials or standards.</w:t>
            </w:r>
            <w:r w:rsidR="0056751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Apprentice should demonstrate </w:t>
            </w:r>
            <w:r w:rsidR="001A7B27">
              <w:rPr>
                <w:rFonts w:ascii="Arial" w:hAnsi="Arial" w:cs="Arial"/>
                <w:sz w:val="14"/>
                <w:szCs w:val="14"/>
              </w:rPr>
              <w:t>e</w:t>
            </w:r>
            <w:r w:rsidRPr="00473328">
              <w:rPr>
                <w:rFonts w:ascii="Arial" w:hAnsi="Arial" w:cs="Arial"/>
                <w:sz w:val="14"/>
                <w:szCs w:val="14"/>
              </w:rPr>
              <w:t>vidence of:</w:t>
            </w:r>
          </w:p>
          <w:p w14:paraId="6E011490" w14:textId="77777777" w:rsidR="00473328" w:rsidRPr="001A7B27" w:rsidRDefault="00473328" w:rsidP="0024202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1A7B27">
              <w:rPr>
                <w:rFonts w:ascii="Arial" w:hAnsi="Arial" w:cs="Arial"/>
                <w:sz w:val="14"/>
                <w:szCs w:val="14"/>
              </w:rPr>
              <w:t>Use of standards, legislation, and sector-specific technical literature</w:t>
            </w:r>
          </w:p>
          <w:p w14:paraId="2F9E2DC4" w14:textId="77777777" w:rsidR="00473328" w:rsidRPr="001A7B27" w:rsidRDefault="00473328" w:rsidP="0024202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1A7B27">
              <w:rPr>
                <w:rFonts w:ascii="Arial" w:hAnsi="Arial" w:cs="Arial"/>
                <w:sz w:val="14"/>
                <w:szCs w:val="14"/>
              </w:rPr>
              <w:t>Application of safety, environmental, and quality frameworks</w:t>
            </w:r>
          </w:p>
          <w:p w14:paraId="7B65203E" w14:textId="77777777" w:rsidR="00473328" w:rsidRPr="001A7B27" w:rsidRDefault="00473328" w:rsidP="0024202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1A7B27">
              <w:rPr>
                <w:rFonts w:ascii="Arial" w:hAnsi="Arial" w:cs="Arial"/>
                <w:sz w:val="14"/>
                <w:szCs w:val="14"/>
              </w:rPr>
              <w:t>Awareness of role, responsibilities, and industry codes of conduct</w:t>
            </w:r>
          </w:p>
          <w:p w14:paraId="2B27200C" w14:textId="77777777" w:rsidR="00473328" w:rsidRPr="001A7B27" w:rsidRDefault="00473328" w:rsidP="0024202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1A7B27">
              <w:rPr>
                <w:rFonts w:ascii="Arial" w:hAnsi="Arial" w:cs="Arial"/>
                <w:sz w:val="14"/>
                <w:szCs w:val="14"/>
              </w:rPr>
              <w:t>Integration of core and pathway-specific KSBs in a real-world context</w:t>
            </w:r>
          </w:p>
          <w:p w14:paraId="3E3AFD08" w14:textId="77777777" w:rsidR="00473328" w:rsidRPr="001A7B27" w:rsidRDefault="00473328" w:rsidP="0024202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1A7B27">
              <w:rPr>
                <w:rFonts w:ascii="Arial" w:hAnsi="Arial" w:cs="Arial"/>
                <w:sz w:val="14"/>
                <w:szCs w:val="14"/>
              </w:rPr>
              <w:t>Judgement informed by current practice, research or guidance</w:t>
            </w:r>
          </w:p>
          <w:p w14:paraId="3437F77A" w14:textId="77777777" w:rsidR="001A7B27" w:rsidRDefault="00473328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A7B27">
              <w:rPr>
                <w:rFonts w:ascii="Arial" w:hAnsi="Arial" w:cs="Arial"/>
                <w:b/>
                <w:bCs/>
                <w:sz w:val="14"/>
                <w:szCs w:val="14"/>
              </w:rPr>
              <w:t>Pathway-Specific Prompts</w:t>
            </w:r>
            <w:r w:rsidR="001A7B27"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  <w:p w14:paraId="3A1F9C7D" w14:textId="28CF4FDF" w:rsidR="00473328" w:rsidRPr="001A7B27" w:rsidRDefault="00473328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A7B27">
              <w:rPr>
                <w:rFonts w:ascii="Arial" w:hAnsi="Arial" w:cs="Arial"/>
                <w:b/>
                <w:bCs/>
                <w:sz w:val="14"/>
                <w:szCs w:val="14"/>
              </w:rPr>
              <w:t>R&amp;D Professional</w:t>
            </w:r>
          </w:p>
          <w:p w14:paraId="69C3382E" w14:textId="77777777" w:rsidR="00473328" w:rsidRPr="00EB5D1E" w:rsidRDefault="00473328" w:rsidP="0024202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EB5D1E">
              <w:rPr>
                <w:rFonts w:ascii="Arial" w:hAnsi="Arial" w:cs="Arial"/>
                <w:sz w:val="14"/>
                <w:szCs w:val="14"/>
              </w:rPr>
              <w:t>Refers to academic and industry research (journals, reports, conferences)</w:t>
            </w:r>
          </w:p>
          <w:p w14:paraId="56C6FB5A" w14:textId="77777777" w:rsidR="00473328" w:rsidRPr="00EB5D1E" w:rsidRDefault="00473328" w:rsidP="0024202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EB5D1E">
              <w:rPr>
                <w:rFonts w:ascii="Arial" w:hAnsi="Arial" w:cs="Arial"/>
                <w:sz w:val="14"/>
                <w:szCs w:val="14"/>
              </w:rPr>
              <w:t>Applies scientific and engineering knowledge to defence/security challenges</w:t>
            </w:r>
          </w:p>
          <w:p w14:paraId="2DF793C4" w14:textId="77777777" w:rsidR="00473328" w:rsidRPr="00EB5D1E" w:rsidRDefault="00473328" w:rsidP="0024202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EB5D1E">
              <w:rPr>
                <w:rFonts w:ascii="Arial" w:hAnsi="Arial" w:cs="Arial"/>
                <w:sz w:val="14"/>
                <w:szCs w:val="14"/>
              </w:rPr>
              <w:t>Uses technical literature, modelling tools, and trial data effectively</w:t>
            </w:r>
          </w:p>
          <w:p w14:paraId="466EDE14" w14:textId="77777777" w:rsidR="00473328" w:rsidRPr="00EB5D1E" w:rsidRDefault="00473328" w:rsidP="0024202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EB5D1E">
              <w:rPr>
                <w:rFonts w:ascii="Arial" w:hAnsi="Arial" w:cs="Arial"/>
                <w:sz w:val="14"/>
                <w:szCs w:val="14"/>
              </w:rPr>
              <w:t>Justifies use of research methods aligned to stakeholder needs</w:t>
            </w:r>
          </w:p>
          <w:p w14:paraId="125CE799" w14:textId="4428D30E" w:rsidR="00473328" w:rsidRPr="00EB5D1E" w:rsidRDefault="00473328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B5D1E">
              <w:rPr>
                <w:rFonts w:ascii="Arial" w:hAnsi="Arial" w:cs="Arial"/>
                <w:b/>
                <w:bCs/>
                <w:sz w:val="14"/>
                <w:szCs w:val="14"/>
              </w:rPr>
              <w:t>Safety Professional</w:t>
            </w:r>
          </w:p>
          <w:p w14:paraId="112D8817" w14:textId="77777777" w:rsidR="00473328" w:rsidRPr="00351499" w:rsidRDefault="00473328" w:rsidP="0024202D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351499">
              <w:rPr>
                <w:rFonts w:ascii="Arial" w:hAnsi="Arial" w:cs="Arial"/>
                <w:sz w:val="14"/>
                <w:szCs w:val="14"/>
              </w:rPr>
              <w:t>Engages with Explosives Regulations 2014, ALARP, and safety standards</w:t>
            </w:r>
          </w:p>
          <w:p w14:paraId="689BAB72" w14:textId="77777777" w:rsidR="00473328" w:rsidRPr="00351499" w:rsidRDefault="00473328" w:rsidP="0024202D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351499">
              <w:rPr>
                <w:rFonts w:ascii="Arial" w:hAnsi="Arial" w:cs="Arial"/>
                <w:sz w:val="14"/>
                <w:szCs w:val="14"/>
              </w:rPr>
              <w:t>References safety cases, inspection reports, risk registers</w:t>
            </w:r>
          </w:p>
          <w:p w14:paraId="0BF11964" w14:textId="77777777" w:rsidR="00473328" w:rsidRPr="00351499" w:rsidRDefault="00473328" w:rsidP="0024202D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351499">
              <w:rPr>
                <w:rFonts w:ascii="Arial" w:hAnsi="Arial" w:cs="Arial"/>
                <w:sz w:val="14"/>
                <w:szCs w:val="14"/>
              </w:rPr>
              <w:t>Applies guidance and legislation to real-world safety practices</w:t>
            </w:r>
          </w:p>
          <w:p w14:paraId="17911D87" w14:textId="77777777" w:rsidR="00473328" w:rsidRPr="00351499" w:rsidRDefault="00473328" w:rsidP="0024202D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351499">
              <w:rPr>
                <w:rFonts w:ascii="Arial" w:hAnsi="Arial" w:cs="Arial"/>
                <w:sz w:val="14"/>
                <w:szCs w:val="14"/>
              </w:rPr>
              <w:t>Shows alignment with organisational and industry policy</w:t>
            </w:r>
          </w:p>
          <w:p w14:paraId="20D7EE93" w14:textId="618320EE" w:rsidR="00473328" w:rsidRPr="00A12608" w:rsidRDefault="00473328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12608">
              <w:rPr>
                <w:rFonts w:ascii="Arial" w:hAnsi="Arial" w:cs="Arial"/>
                <w:b/>
                <w:bCs/>
                <w:sz w:val="14"/>
                <w:szCs w:val="14"/>
              </w:rPr>
              <w:t>Manufacturing &amp; Processing Professional</w:t>
            </w:r>
          </w:p>
          <w:p w14:paraId="16E84ACE" w14:textId="77777777" w:rsidR="00473328" w:rsidRPr="00A12608" w:rsidRDefault="00473328" w:rsidP="0024202D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12608">
              <w:rPr>
                <w:rFonts w:ascii="Arial" w:hAnsi="Arial" w:cs="Arial"/>
                <w:sz w:val="14"/>
                <w:szCs w:val="14"/>
              </w:rPr>
              <w:t>Refers to manufacturing standards and compliance documentation</w:t>
            </w:r>
          </w:p>
          <w:p w14:paraId="264328B5" w14:textId="77777777" w:rsidR="00473328" w:rsidRPr="00A12608" w:rsidRDefault="00473328" w:rsidP="0024202D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12608">
              <w:rPr>
                <w:rFonts w:ascii="Arial" w:hAnsi="Arial" w:cs="Arial"/>
                <w:sz w:val="14"/>
                <w:szCs w:val="14"/>
              </w:rPr>
              <w:t>Applies tools such as PFMEA, QFD, or design specifications</w:t>
            </w:r>
          </w:p>
          <w:p w14:paraId="5991D30F" w14:textId="77777777" w:rsidR="00473328" w:rsidRPr="00A12608" w:rsidRDefault="00473328" w:rsidP="0024202D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12608">
              <w:rPr>
                <w:rFonts w:ascii="Arial" w:hAnsi="Arial" w:cs="Arial"/>
                <w:sz w:val="14"/>
                <w:szCs w:val="14"/>
              </w:rPr>
              <w:t>Integrates safety, quality, and performance data from production settings</w:t>
            </w:r>
          </w:p>
          <w:p w14:paraId="1B2A3389" w14:textId="77777777" w:rsidR="00473328" w:rsidRPr="00A12608" w:rsidRDefault="00473328" w:rsidP="0024202D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12608">
              <w:rPr>
                <w:rFonts w:ascii="Arial" w:hAnsi="Arial" w:cs="Arial"/>
                <w:sz w:val="14"/>
                <w:szCs w:val="14"/>
              </w:rPr>
              <w:t>Demonstrates process understanding grounded in legislation and standards</w:t>
            </w:r>
          </w:p>
          <w:p w14:paraId="6D63402D" w14:textId="41B1FBF7" w:rsidR="00473328" w:rsidRPr="00A92268" w:rsidRDefault="00473328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92268">
              <w:rPr>
                <w:rFonts w:ascii="Arial" w:hAnsi="Arial" w:cs="Arial"/>
                <w:b/>
                <w:bCs/>
                <w:sz w:val="14"/>
                <w:szCs w:val="14"/>
              </w:rPr>
              <w:t>Breakdown &amp; Disposal Professional</w:t>
            </w:r>
          </w:p>
          <w:p w14:paraId="13A1FE67" w14:textId="77777777" w:rsidR="00473328" w:rsidRPr="00A92268" w:rsidRDefault="00473328" w:rsidP="0024202D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92268">
              <w:rPr>
                <w:rFonts w:ascii="Arial" w:hAnsi="Arial" w:cs="Arial"/>
                <w:sz w:val="14"/>
                <w:szCs w:val="14"/>
              </w:rPr>
              <w:t>Engages with hazard documentation, risk frameworks, and regulations</w:t>
            </w:r>
          </w:p>
          <w:p w14:paraId="289C8EAC" w14:textId="77777777" w:rsidR="00473328" w:rsidRPr="00A92268" w:rsidRDefault="00473328" w:rsidP="0024202D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92268">
              <w:rPr>
                <w:rFonts w:ascii="Arial" w:hAnsi="Arial" w:cs="Arial"/>
                <w:sz w:val="14"/>
                <w:szCs w:val="14"/>
              </w:rPr>
              <w:t>Uses evidence of disposal techniques and decontamination approaches</w:t>
            </w:r>
          </w:p>
          <w:p w14:paraId="1B2A7C47" w14:textId="77777777" w:rsidR="00473328" w:rsidRPr="00A92268" w:rsidRDefault="00473328" w:rsidP="0024202D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92268">
              <w:rPr>
                <w:rFonts w:ascii="Arial" w:hAnsi="Arial" w:cs="Arial"/>
                <w:sz w:val="14"/>
                <w:szCs w:val="14"/>
              </w:rPr>
              <w:t>Integrates lifecycle knowledge and environmental protection principles</w:t>
            </w:r>
          </w:p>
          <w:p w14:paraId="22F5369D" w14:textId="77777777" w:rsidR="00473328" w:rsidRPr="00A92268" w:rsidRDefault="00473328" w:rsidP="0024202D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92268">
              <w:rPr>
                <w:rFonts w:ascii="Arial" w:hAnsi="Arial" w:cs="Arial"/>
                <w:sz w:val="14"/>
                <w:szCs w:val="14"/>
              </w:rPr>
              <w:t>References relevant environmental and safety legislation</w:t>
            </w:r>
          </w:p>
          <w:p w14:paraId="220DB46E" w14:textId="050EE568" w:rsidR="00473328" w:rsidRPr="00B17CE6" w:rsidRDefault="00473328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17CE6">
              <w:rPr>
                <w:rFonts w:ascii="Arial" w:hAnsi="Arial" w:cs="Arial"/>
                <w:b/>
                <w:bCs/>
                <w:sz w:val="14"/>
                <w:szCs w:val="14"/>
              </w:rPr>
              <w:t>Test &amp; Evaluation Professional</w:t>
            </w:r>
          </w:p>
          <w:p w14:paraId="02CFA460" w14:textId="77777777" w:rsidR="00473328" w:rsidRPr="00B17CE6" w:rsidRDefault="00473328" w:rsidP="0024202D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B17CE6">
              <w:rPr>
                <w:rFonts w:ascii="Arial" w:hAnsi="Arial" w:cs="Arial"/>
                <w:sz w:val="14"/>
                <w:szCs w:val="14"/>
              </w:rPr>
              <w:t>Applies testing standards (performance, environmental, engineering)</w:t>
            </w:r>
          </w:p>
          <w:p w14:paraId="55627B1A" w14:textId="77777777" w:rsidR="00473328" w:rsidRPr="00B17CE6" w:rsidRDefault="00473328" w:rsidP="0024202D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B17CE6">
              <w:rPr>
                <w:rFonts w:ascii="Arial" w:hAnsi="Arial" w:cs="Arial"/>
                <w:sz w:val="14"/>
                <w:szCs w:val="14"/>
              </w:rPr>
              <w:t>Designs trials based on customer requirements and technical literature</w:t>
            </w:r>
          </w:p>
          <w:p w14:paraId="738E56D3" w14:textId="77777777" w:rsidR="00473328" w:rsidRPr="00B17CE6" w:rsidRDefault="00473328" w:rsidP="0024202D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B17CE6">
              <w:rPr>
                <w:rFonts w:ascii="Arial" w:hAnsi="Arial" w:cs="Arial"/>
                <w:sz w:val="14"/>
                <w:szCs w:val="14"/>
              </w:rPr>
              <w:t>Refers to trial safety protocols and regulatory frameworks</w:t>
            </w:r>
          </w:p>
          <w:p w14:paraId="21806440" w14:textId="0FE93F6B" w:rsidR="00864FAC" w:rsidRPr="00B17CE6" w:rsidRDefault="00473328" w:rsidP="0024202D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B17CE6">
              <w:rPr>
                <w:rFonts w:ascii="Arial" w:hAnsi="Arial" w:cs="Arial"/>
                <w:sz w:val="14"/>
                <w:szCs w:val="14"/>
              </w:rPr>
              <w:t>Shows understanding of compliance requirements in test planning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2B02F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D91B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A406E5" w14:paraId="63392CCD" w14:textId="77777777" w:rsidTr="0024202D">
        <w:trPr>
          <w:trHeight w:val="451"/>
        </w:trPr>
        <w:tc>
          <w:tcPr>
            <w:tcW w:w="3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A4A1" w14:textId="77777777" w:rsidR="00864FAC" w:rsidRPr="00A406E5" w:rsidRDefault="00864FAC" w:rsidP="0024202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7F45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15</w:t>
            </w: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382F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A406E5" w14:paraId="453F00C1" w14:textId="77777777" w:rsidTr="0024202D">
        <w:trPr>
          <w:trHeight w:val="45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378AA7D" w14:textId="77777777" w:rsidR="00864FAC" w:rsidRPr="00A406E5" w:rsidRDefault="00864FAC" w:rsidP="0024202D">
            <w:pPr>
              <w:rPr>
                <w:rFonts w:ascii="Arial" w:hAnsi="Arial" w:cs="Arial"/>
                <w:b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2. </w:t>
            </w:r>
            <w:r w:rsidRPr="00A406E5">
              <w:rPr>
                <w:rFonts w:ascii="Arial" w:hAnsi="Arial" w:cs="Arial"/>
                <w:b/>
              </w:rPr>
              <w:t xml:space="preserve">Knowledge and Understanding </w:t>
            </w:r>
            <w:r>
              <w:rPr>
                <w:rFonts w:ascii="Arial" w:hAnsi="Arial" w:cs="Arial"/>
                <w:b/>
              </w:rPr>
              <w:t>Skills</w:t>
            </w:r>
          </w:p>
          <w:p w14:paraId="6731341B" w14:textId="77777777" w:rsidR="00864FAC" w:rsidRPr="00A406E5" w:rsidRDefault="00864FAC" w:rsidP="0024202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5A8E093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BC4F68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A406E5" w14:paraId="05809D6E" w14:textId="77777777" w:rsidTr="0024202D">
        <w:trPr>
          <w:trHeight w:val="450"/>
        </w:trPr>
        <w:tc>
          <w:tcPr>
            <w:tcW w:w="3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BB104" w14:textId="2806622C" w:rsidR="004D3904" w:rsidRPr="004D3904" w:rsidRDefault="004D3904" w:rsidP="0024202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3A7E77">
              <w:rPr>
                <w:rFonts w:ascii="Arial" w:hAnsi="Arial" w:cs="Arial"/>
                <w:b/>
                <w:bCs/>
                <w:sz w:val="14"/>
                <w:szCs w:val="14"/>
              </w:rPr>
              <w:t>General Prompt</w:t>
            </w:r>
            <w:r w:rsidR="003A7E7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: </w:t>
            </w:r>
            <w:r w:rsidRPr="004D3904">
              <w:rPr>
                <w:rFonts w:ascii="Arial" w:hAnsi="Arial" w:cs="Arial"/>
                <w:sz w:val="14"/>
                <w:szCs w:val="14"/>
              </w:rPr>
              <w:t>Apprentice demonstrates coherent and detailed knowledge of core and pathway-specific KSBs, showing systematic understanding of theoretical concepts and workplace application. Informed by research, standards, or industry best practice.</w:t>
            </w:r>
            <w:r w:rsidR="00F035FF">
              <w:rPr>
                <w:rFonts w:ascii="Arial" w:hAnsi="Arial" w:cs="Arial"/>
                <w:sz w:val="14"/>
                <w:szCs w:val="14"/>
              </w:rPr>
              <w:t xml:space="preserve"> Apprentice should </w:t>
            </w:r>
            <w:r w:rsidR="001B2236">
              <w:rPr>
                <w:rFonts w:ascii="Arial" w:hAnsi="Arial" w:cs="Arial"/>
                <w:sz w:val="14"/>
                <w:szCs w:val="14"/>
              </w:rPr>
              <w:t>demonstrate</w:t>
            </w:r>
            <w:r w:rsidRPr="004D3904">
              <w:rPr>
                <w:rFonts w:ascii="Arial" w:hAnsi="Arial" w:cs="Arial"/>
                <w:sz w:val="14"/>
                <w:szCs w:val="14"/>
              </w:rPr>
              <w:t xml:space="preserve"> evidence of:</w:t>
            </w:r>
          </w:p>
          <w:p w14:paraId="0982BCA0" w14:textId="77777777" w:rsidR="004D3904" w:rsidRPr="00A978B2" w:rsidRDefault="004D3904" w:rsidP="0024202D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978B2">
              <w:rPr>
                <w:rFonts w:ascii="Arial" w:hAnsi="Arial" w:cs="Arial"/>
                <w:sz w:val="14"/>
                <w:szCs w:val="14"/>
              </w:rPr>
              <w:t>Physics and chemistry of energetic materials</w:t>
            </w:r>
          </w:p>
          <w:p w14:paraId="28EFA21F" w14:textId="77777777" w:rsidR="004D3904" w:rsidRPr="00A978B2" w:rsidRDefault="004D3904" w:rsidP="0024202D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978B2">
              <w:rPr>
                <w:rFonts w:ascii="Arial" w:hAnsi="Arial" w:cs="Arial"/>
                <w:sz w:val="14"/>
                <w:szCs w:val="14"/>
              </w:rPr>
              <w:t>Engineering principles, systems modelling, and materials science</w:t>
            </w:r>
          </w:p>
          <w:p w14:paraId="71883FD8" w14:textId="77777777" w:rsidR="004D3904" w:rsidRPr="00A978B2" w:rsidRDefault="004D3904" w:rsidP="0024202D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978B2">
              <w:rPr>
                <w:rFonts w:ascii="Arial" w:hAnsi="Arial" w:cs="Arial"/>
                <w:sz w:val="14"/>
                <w:szCs w:val="14"/>
              </w:rPr>
              <w:t>Environmental and safety regulations (e.g. ER2014, ALARP)</w:t>
            </w:r>
          </w:p>
          <w:p w14:paraId="4583DF32" w14:textId="5487C4D4" w:rsidR="004D3904" w:rsidRPr="00A978B2" w:rsidRDefault="004D3904" w:rsidP="0024202D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978B2">
              <w:rPr>
                <w:rFonts w:ascii="Arial" w:hAnsi="Arial" w:cs="Arial"/>
                <w:sz w:val="14"/>
                <w:szCs w:val="14"/>
              </w:rPr>
              <w:t>Lifecycle stages (design, manufacture, test, disposal)</w:t>
            </w:r>
          </w:p>
          <w:p w14:paraId="6F166963" w14:textId="77777777" w:rsidR="004D3904" w:rsidRPr="00A978B2" w:rsidRDefault="004D3904" w:rsidP="0024202D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978B2">
              <w:rPr>
                <w:rFonts w:ascii="Arial" w:hAnsi="Arial" w:cs="Arial"/>
                <w:sz w:val="14"/>
                <w:szCs w:val="14"/>
              </w:rPr>
              <w:t>Business and regulatory context</w:t>
            </w:r>
          </w:p>
          <w:p w14:paraId="2F2028D1" w14:textId="77777777" w:rsidR="004D3904" w:rsidRPr="00A978B2" w:rsidRDefault="004D3904" w:rsidP="0024202D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978B2">
              <w:rPr>
                <w:rFonts w:ascii="Arial" w:hAnsi="Arial" w:cs="Arial"/>
                <w:sz w:val="14"/>
                <w:szCs w:val="14"/>
              </w:rPr>
              <w:t>Project/technical documentation and risk management approaches</w:t>
            </w:r>
          </w:p>
          <w:p w14:paraId="1E005C25" w14:textId="77777777" w:rsidR="004D3904" w:rsidRPr="00A978B2" w:rsidRDefault="004D3904" w:rsidP="0024202D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978B2">
              <w:rPr>
                <w:rFonts w:ascii="Arial" w:hAnsi="Arial" w:cs="Arial"/>
                <w:sz w:val="14"/>
                <w:szCs w:val="14"/>
              </w:rPr>
              <w:t>Recognition of ambiguity, limitations, or uncertainty in data</w:t>
            </w:r>
          </w:p>
          <w:p w14:paraId="1F4C679C" w14:textId="73C0C7D3" w:rsidR="004D3904" w:rsidRPr="00A978B2" w:rsidRDefault="004D3904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978B2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Pathway-Specific Knowledge Prompts</w:t>
            </w:r>
            <w:r w:rsidR="00A978B2"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  <w:p w14:paraId="512F946D" w14:textId="45A02504" w:rsidR="004D3904" w:rsidRPr="00A978B2" w:rsidRDefault="004D3904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978B2">
              <w:rPr>
                <w:rFonts w:ascii="Arial" w:hAnsi="Arial" w:cs="Arial"/>
                <w:b/>
                <w:bCs/>
                <w:sz w:val="14"/>
                <w:szCs w:val="14"/>
              </w:rPr>
              <w:t>R&amp;D Professional</w:t>
            </w:r>
          </w:p>
          <w:p w14:paraId="295E01C0" w14:textId="77777777" w:rsidR="004D3904" w:rsidRPr="004D63AD" w:rsidRDefault="004D3904" w:rsidP="0024202D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4D63AD">
              <w:rPr>
                <w:rFonts w:ascii="Arial" w:hAnsi="Arial" w:cs="Arial"/>
                <w:sz w:val="14"/>
                <w:szCs w:val="14"/>
              </w:rPr>
              <w:t>Demonstrates advanced understanding of energetic materials (e.g. propellants, formulations, performance)</w:t>
            </w:r>
          </w:p>
          <w:p w14:paraId="446B60EE" w14:textId="77777777" w:rsidR="004D3904" w:rsidRPr="004D63AD" w:rsidRDefault="004D3904" w:rsidP="0024202D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4D63AD">
              <w:rPr>
                <w:rFonts w:ascii="Arial" w:hAnsi="Arial" w:cs="Arial"/>
                <w:sz w:val="14"/>
                <w:szCs w:val="14"/>
              </w:rPr>
              <w:t>Awareness of emerging technologies (e.g. additive manufacturing, nanomaterials)</w:t>
            </w:r>
          </w:p>
          <w:p w14:paraId="4AFACC9D" w14:textId="77777777" w:rsidR="004D3904" w:rsidRPr="004D63AD" w:rsidRDefault="004D3904" w:rsidP="0024202D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4D63AD">
              <w:rPr>
                <w:rFonts w:ascii="Arial" w:hAnsi="Arial" w:cs="Arial"/>
                <w:sz w:val="14"/>
                <w:szCs w:val="14"/>
              </w:rPr>
              <w:t>Understands systems-based design and lifecycle integration</w:t>
            </w:r>
          </w:p>
          <w:p w14:paraId="19762BB0" w14:textId="77777777" w:rsidR="004D3904" w:rsidRPr="004D63AD" w:rsidRDefault="004D3904" w:rsidP="0024202D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4D63AD">
              <w:rPr>
                <w:rFonts w:ascii="Arial" w:hAnsi="Arial" w:cs="Arial"/>
                <w:sz w:val="14"/>
                <w:szCs w:val="14"/>
              </w:rPr>
              <w:t>Applies scientific theory and research methods to real-world OME problems</w:t>
            </w:r>
          </w:p>
          <w:p w14:paraId="16C6D140" w14:textId="77777777" w:rsidR="004D3904" w:rsidRPr="004D63AD" w:rsidRDefault="004D3904" w:rsidP="0024202D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4D63AD">
              <w:rPr>
                <w:rFonts w:ascii="Arial" w:hAnsi="Arial" w:cs="Arial"/>
                <w:sz w:val="14"/>
                <w:szCs w:val="14"/>
              </w:rPr>
              <w:t>Justifies choices using academic/technical sources (journals, trials, modelling tools)</w:t>
            </w:r>
          </w:p>
          <w:p w14:paraId="6456412A" w14:textId="77777777" w:rsidR="004D3904" w:rsidRPr="004D3904" w:rsidRDefault="004D3904" w:rsidP="0024202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C0EDBF2" w14:textId="040609DB" w:rsidR="004D3904" w:rsidRPr="00720DD3" w:rsidRDefault="004D3904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20DD3">
              <w:rPr>
                <w:rFonts w:ascii="Arial" w:hAnsi="Arial" w:cs="Arial"/>
                <w:b/>
                <w:bCs/>
                <w:sz w:val="14"/>
                <w:szCs w:val="14"/>
              </w:rPr>
              <w:t>Safety Professional</w:t>
            </w:r>
          </w:p>
          <w:p w14:paraId="4118BE23" w14:textId="77777777" w:rsidR="004D3904" w:rsidRPr="00720DD3" w:rsidRDefault="004D3904" w:rsidP="0024202D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720DD3">
              <w:rPr>
                <w:rFonts w:ascii="Arial" w:hAnsi="Arial" w:cs="Arial"/>
                <w:sz w:val="14"/>
                <w:szCs w:val="14"/>
              </w:rPr>
              <w:t>Demonstrates detailed knowledge of ER2014, licensing, safeguarding, and ALARP principles</w:t>
            </w:r>
          </w:p>
          <w:p w14:paraId="428DA40B" w14:textId="77777777" w:rsidR="004D3904" w:rsidRPr="00720DD3" w:rsidRDefault="004D3904" w:rsidP="0024202D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720DD3">
              <w:rPr>
                <w:rFonts w:ascii="Arial" w:hAnsi="Arial" w:cs="Arial"/>
                <w:sz w:val="14"/>
                <w:szCs w:val="14"/>
              </w:rPr>
              <w:t>Understands severity assessment techniques and risk mitigation strategies</w:t>
            </w:r>
          </w:p>
          <w:p w14:paraId="45610CBE" w14:textId="77777777" w:rsidR="004D3904" w:rsidRPr="00720DD3" w:rsidRDefault="004D3904" w:rsidP="0024202D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720DD3">
              <w:rPr>
                <w:rFonts w:ascii="Arial" w:hAnsi="Arial" w:cs="Arial"/>
                <w:sz w:val="14"/>
                <w:szCs w:val="14"/>
              </w:rPr>
              <w:t>Applies human factors and safety management system principles</w:t>
            </w:r>
          </w:p>
          <w:p w14:paraId="2DF82B22" w14:textId="77777777" w:rsidR="004D3904" w:rsidRPr="00720DD3" w:rsidRDefault="004D3904" w:rsidP="0024202D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720DD3">
              <w:rPr>
                <w:rFonts w:ascii="Arial" w:hAnsi="Arial" w:cs="Arial"/>
                <w:sz w:val="14"/>
                <w:szCs w:val="14"/>
              </w:rPr>
              <w:t>Explains rationale behind safety controls and documentation (e.g. safety cases, inspections)</w:t>
            </w:r>
          </w:p>
          <w:p w14:paraId="7B01C5CD" w14:textId="63E8B494" w:rsidR="004D3904" w:rsidRPr="00720DD3" w:rsidRDefault="004D3904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20DD3">
              <w:rPr>
                <w:rFonts w:ascii="Arial" w:hAnsi="Arial" w:cs="Arial"/>
                <w:b/>
                <w:bCs/>
                <w:sz w:val="14"/>
                <w:szCs w:val="14"/>
              </w:rPr>
              <w:t>Manufacturing &amp; Processing Professional</w:t>
            </w:r>
          </w:p>
          <w:p w14:paraId="0E0E555E" w14:textId="77777777" w:rsidR="004D3904" w:rsidRPr="00752FBB" w:rsidRDefault="004D3904" w:rsidP="0024202D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752FBB">
              <w:rPr>
                <w:rFonts w:ascii="Arial" w:hAnsi="Arial" w:cs="Arial"/>
                <w:sz w:val="14"/>
                <w:szCs w:val="14"/>
              </w:rPr>
              <w:t>Demonstrates knowledge of end-to-end OME manufacturing processes (prototyping to bulk production)</w:t>
            </w:r>
          </w:p>
          <w:p w14:paraId="776F8584" w14:textId="7A7691F2" w:rsidR="004D3904" w:rsidRPr="00752FBB" w:rsidRDefault="001B2236" w:rsidP="0024202D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="004D3904" w:rsidRPr="00752FBB">
              <w:rPr>
                <w:rFonts w:ascii="Arial" w:hAnsi="Arial" w:cs="Arial"/>
                <w:sz w:val="14"/>
                <w:szCs w:val="14"/>
              </w:rPr>
              <w:t>pplies tools such as PFMEA, QFD, and process control frameworks</w:t>
            </w:r>
          </w:p>
          <w:p w14:paraId="2B129DC7" w14:textId="77777777" w:rsidR="004D3904" w:rsidRPr="00752FBB" w:rsidRDefault="004D3904" w:rsidP="0024202D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752FBB">
              <w:rPr>
                <w:rFonts w:ascii="Arial" w:hAnsi="Arial" w:cs="Arial"/>
                <w:sz w:val="14"/>
                <w:szCs w:val="14"/>
              </w:rPr>
              <w:t>Understands design constraints, product critical features, and process throughput trade-offs</w:t>
            </w:r>
          </w:p>
          <w:p w14:paraId="01478F09" w14:textId="77777777" w:rsidR="004D3904" w:rsidRPr="00752FBB" w:rsidRDefault="004D3904" w:rsidP="0024202D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752FBB">
              <w:rPr>
                <w:rFonts w:ascii="Arial" w:hAnsi="Arial" w:cs="Arial"/>
                <w:sz w:val="14"/>
                <w:szCs w:val="14"/>
              </w:rPr>
              <w:t>Shows awareness of how design changes affect safety, quality, and compliance</w:t>
            </w:r>
          </w:p>
          <w:p w14:paraId="0DA29EFC" w14:textId="5B0BD3BE" w:rsidR="004D3904" w:rsidRPr="00752FBB" w:rsidRDefault="004D3904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52FBB">
              <w:rPr>
                <w:rFonts w:ascii="Arial" w:hAnsi="Arial" w:cs="Arial"/>
                <w:b/>
                <w:bCs/>
                <w:sz w:val="14"/>
                <w:szCs w:val="14"/>
              </w:rPr>
              <w:t>Breakdown &amp; Disposal Professional</w:t>
            </w:r>
          </w:p>
          <w:p w14:paraId="32B9D485" w14:textId="77777777" w:rsidR="004D3904" w:rsidRPr="00752FBB" w:rsidRDefault="004D3904" w:rsidP="0024202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752FBB">
              <w:rPr>
                <w:rFonts w:ascii="Arial" w:hAnsi="Arial" w:cs="Arial"/>
                <w:sz w:val="14"/>
                <w:szCs w:val="14"/>
              </w:rPr>
              <w:t>Demonstrates understanding of initiation systems, arming mechanisms, and breakdown sequences</w:t>
            </w:r>
          </w:p>
          <w:p w14:paraId="03329200" w14:textId="77777777" w:rsidR="004D3904" w:rsidRPr="00752FBB" w:rsidRDefault="004D3904" w:rsidP="0024202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752FBB">
              <w:rPr>
                <w:rFonts w:ascii="Arial" w:hAnsi="Arial" w:cs="Arial"/>
                <w:sz w:val="14"/>
                <w:szCs w:val="14"/>
              </w:rPr>
              <w:t>Applies disposal and decontamination methods appropriate to OME type</w:t>
            </w:r>
          </w:p>
          <w:p w14:paraId="156FAE38" w14:textId="77777777" w:rsidR="004D3904" w:rsidRPr="00752FBB" w:rsidRDefault="004D3904" w:rsidP="0024202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752FBB">
              <w:rPr>
                <w:rFonts w:ascii="Arial" w:hAnsi="Arial" w:cs="Arial"/>
                <w:sz w:val="14"/>
                <w:szCs w:val="14"/>
              </w:rPr>
              <w:t>Understands environmental impacts and regulatory implications of disposal activities</w:t>
            </w:r>
          </w:p>
          <w:p w14:paraId="316A54AA" w14:textId="77777777" w:rsidR="004D3904" w:rsidRPr="00752FBB" w:rsidRDefault="004D3904" w:rsidP="0024202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752FBB">
              <w:rPr>
                <w:rFonts w:ascii="Arial" w:hAnsi="Arial" w:cs="Arial"/>
                <w:sz w:val="14"/>
                <w:szCs w:val="14"/>
              </w:rPr>
              <w:t>Identifies when remote vs manual techniques are appropriate and safe</w:t>
            </w:r>
          </w:p>
          <w:p w14:paraId="1E2FF94B" w14:textId="45F44519" w:rsidR="004D3904" w:rsidRPr="00752FBB" w:rsidRDefault="004D3904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52FBB">
              <w:rPr>
                <w:rFonts w:ascii="Arial" w:hAnsi="Arial" w:cs="Arial"/>
                <w:b/>
                <w:bCs/>
                <w:sz w:val="14"/>
                <w:szCs w:val="14"/>
              </w:rPr>
              <w:t>Test &amp; Evaluation Professional</w:t>
            </w:r>
          </w:p>
          <w:p w14:paraId="317B833F" w14:textId="77777777" w:rsidR="004D3904" w:rsidRPr="0070386A" w:rsidRDefault="004D3904" w:rsidP="0024202D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70386A">
              <w:rPr>
                <w:rFonts w:ascii="Arial" w:hAnsi="Arial" w:cs="Arial"/>
                <w:sz w:val="14"/>
                <w:szCs w:val="14"/>
              </w:rPr>
              <w:t>Explains how energetic materials behave under test/trial conditions (e.g. ignition, impact, friction)</w:t>
            </w:r>
          </w:p>
          <w:p w14:paraId="0436F90E" w14:textId="77777777" w:rsidR="004D3904" w:rsidRPr="0070386A" w:rsidRDefault="004D3904" w:rsidP="0024202D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70386A">
              <w:rPr>
                <w:rFonts w:ascii="Arial" w:hAnsi="Arial" w:cs="Arial"/>
                <w:sz w:val="14"/>
                <w:szCs w:val="14"/>
              </w:rPr>
              <w:t>Demonstrates understanding of instrumentation, calibration, and diagnostics</w:t>
            </w:r>
          </w:p>
          <w:p w14:paraId="4B2B411E" w14:textId="77777777" w:rsidR="004D3904" w:rsidRPr="0070386A" w:rsidRDefault="004D3904" w:rsidP="0024202D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70386A">
              <w:rPr>
                <w:rFonts w:ascii="Arial" w:hAnsi="Arial" w:cs="Arial"/>
                <w:sz w:val="14"/>
                <w:szCs w:val="14"/>
              </w:rPr>
              <w:t>Applies industry test standards and safety protocols for trials</w:t>
            </w:r>
          </w:p>
          <w:p w14:paraId="1B1653F6" w14:textId="7693042A" w:rsidR="0064589C" w:rsidRPr="0070386A" w:rsidRDefault="004D3904" w:rsidP="0024202D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70386A">
              <w:rPr>
                <w:rFonts w:ascii="Arial" w:hAnsi="Arial" w:cs="Arial"/>
                <w:sz w:val="14"/>
                <w:szCs w:val="14"/>
              </w:rPr>
              <w:t>Understands facility operations, environmental controls, and trial risk mitigation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FC435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F5CE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A406E5" w14:paraId="6A6355D3" w14:textId="77777777" w:rsidTr="0024202D">
        <w:trPr>
          <w:trHeight w:val="451"/>
        </w:trPr>
        <w:tc>
          <w:tcPr>
            <w:tcW w:w="3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4447" w14:textId="77777777" w:rsidR="00864FAC" w:rsidRPr="00A406E5" w:rsidRDefault="00864FAC" w:rsidP="0024202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1DED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20</w:t>
            </w: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E789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A406E5" w14:paraId="3EB696EB" w14:textId="77777777" w:rsidTr="0024202D">
        <w:trPr>
          <w:trHeight w:val="45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E05E6F" w14:textId="77777777" w:rsidR="00864FAC" w:rsidRPr="00A406E5" w:rsidRDefault="00864FAC" w:rsidP="0024202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3. </w:t>
            </w:r>
            <w:r>
              <w:rPr>
                <w:rFonts w:ascii="Arial" w:hAnsi="Arial" w:cs="Arial"/>
                <w:b/>
              </w:rPr>
              <w:t>Cognitive and Intellectual Skills</w:t>
            </w:r>
          </w:p>
          <w:p w14:paraId="5D93BFE9" w14:textId="77777777" w:rsidR="00864FAC" w:rsidRPr="00A406E5" w:rsidRDefault="00864FAC" w:rsidP="0024202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8362397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001872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A406E5" w14:paraId="4C1037EE" w14:textId="77777777" w:rsidTr="0024202D">
        <w:trPr>
          <w:trHeight w:val="450"/>
        </w:trPr>
        <w:tc>
          <w:tcPr>
            <w:tcW w:w="3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39012" w14:textId="615EECAB" w:rsidR="00D5506A" w:rsidRPr="00D5506A" w:rsidRDefault="00D5506A" w:rsidP="0024202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D5506A">
              <w:rPr>
                <w:rFonts w:ascii="Arial" w:hAnsi="Arial" w:cs="Arial"/>
                <w:b/>
                <w:bCs/>
                <w:sz w:val="14"/>
                <w:szCs w:val="14"/>
              </w:rPr>
              <w:t>General Prompt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: </w:t>
            </w:r>
            <w:r w:rsidRPr="00D5506A">
              <w:rPr>
                <w:rFonts w:ascii="Arial" w:hAnsi="Arial" w:cs="Arial"/>
                <w:sz w:val="14"/>
                <w:szCs w:val="14"/>
              </w:rPr>
              <w:t>Apprentice applies critical thinking and logical reasoning to OME challenges. Demonstrates ability to analyse data, evaluate alternatives, solve problems, and justify decisions using technical evidence.</w:t>
            </w:r>
            <w:r w:rsidR="003D1D3A">
              <w:rPr>
                <w:rFonts w:ascii="Arial" w:hAnsi="Arial" w:cs="Arial"/>
                <w:sz w:val="14"/>
                <w:szCs w:val="14"/>
              </w:rPr>
              <w:t xml:space="preserve"> Apprentice should demonstrate evidence </w:t>
            </w:r>
            <w:r w:rsidRPr="00D5506A">
              <w:rPr>
                <w:rFonts w:ascii="Arial" w:hAnsi="Arial" w:cs="Arial"/>
                <w:sz w:val="14"/>
                <w:szCs w:val="14"/>
              </w:rPr>
              <w:t>of:</w:t>
            </w:r>
          </w:p>
          <w:p w14:paraId="66DAE85D" w14:textId="77777777" w:rsidR="00D5506A" w:rsidRPr="003D1D3A" w:rsidRDefault="00D5506A" w:rsidP="0024202D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3D1D3A">
              <w:rPr>
                <w:rFonts w:ascii="Arial" w:hAnsi="Arial" w:cs="Arial"/>
                <w:sz w:val="14"/>
                <w:szCs w:val="14"/>
              </w:rPr>
              <w:t>Evaluation of design and consequences of change</w:t>
            </w:r>
          </w:p>
          <w:p w14:paraId="69C0608A" w14:textId="77777777" w:rsidR="00D5506A" w:rsidRPr="003D1D3A" w:rsidRDefault="00D5506A" w:rsidP="0024202D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3D1D3A">
              <w:rPr>
                <w:rFonts w:ascii="Arial" w:hAnsi="Arial" w:cs="Arial"/>
                <w:sz w:val="14"/>
                <w:szCs w:val="14"/>
              </w:rPr>
              <w:t>Modelling, data analysis, and interpretation</w:t>
            </w:r>
          </w:p>
          <w:p w14:paraId="20D6BBCD" w14:textId="77777777" w:rsidR="00D5506A" w:rsidRPr="003D1D3A" w:rsidRDefault="00D5506A" w:rsidP="0024202D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3D1D3A">
              <w:rPr>
                <w:rFonts w:ascii="Arial" w:hAnsi="Arial" w:cs="Arial"/>
                <w:sz w:val="14"/>
                <w:szCs w:val="14"/>
              </w:rPr>
              <w:t>Forward planning and structured decision-making</w:t>
            </w:r>
          </w:p>
          <w:p w14:paraId="44EAC6A2" w14:textId="77777777" w:rsidR="00D5506A" w:rsidRPr="003D1D3A" w:rsidRDefault="00D5506A" w:rsidP="0024202D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3D1D3A">
              <w:rPr>
                <w:rFonts w:ascii="Arial" w:hAnsi="Arial" w:cs="Arial"/>
                <w:sz w:val="14"/>
                <w:szCs w:val="14"/>
              </w:rPr>
              <w:t>Strategic judgement in complex or ambiguous scenarios</w:t>
            </w:r>
          </w:p>
          <w:p w14:paraId="26D017FD" w14:textId="77777777" w:rsidR="00D5506A" w:rsidRPr="003D1D3A" w:rsidRDefault="00D5506A" w:rsidP="0024202D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3D1D3A">
              <w:rPr>
                <w:rFonts w:ascii="Arial" w:hAnsi="Arial" w:cs="Arial"/>
                <w:sz w:val="14"/>
                <w:szCs w:val="14"/>
              </w:rPr>
              <w:t>Use of evidence (e.g. trials, literature, workplace data) to support conclusions</w:t>
            </w:r>
          </w:p>
          <w:p w14:paraId="47570F87" w14:textId="77777777" w:rsidR="00D5506A" w:rsidRPr="003D1D3A" w:rsidRDefault="00D5506A" w:rsidP="0024202D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3D1D3A">
              <w:rPr>
                <w:rFonts w:ascii="Arial" w:hAnsi="Arial" w:cs="Arial"/>
                <w:sz w:val="14"/>
                <w:szCs w:val="14"/>
              </w:rPr>
              <w:t>Systematic problem-solving using structured tools or techniques</w:t>
            </w:r>
          </w:p>
          <w:p w14:paraId="59C0F8F6" w14:textId="389B30A1" w:rsidR="00D5506A" w:rsidRPr="003D1D3A" w:rsidRDefault="00D5506A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D1D3A">
              <w:rPr>
                <w:rFonts w:ascii="Arial" w:hAnsi="Arial" w:cs="Arial"/>
                <w:b/>
                <w:bCs/>
                <w:sz w:val="14"/>
                <w:szCs w:val="14"/>
              </w:rPr>
              <w:t>Pathway-Specific Cognitive Prompts</w:t>
            </w:r>
          </w:p>
          <w:p w14:paraId="5B1BE1C9" w14:textId="47CD771F" w:rsidR="00D5506A" w:rsidRPr="003D1D3A" w:rsidRDefault="00D5506A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D1D3A">
              <w:rPr>
                <w:rFonts w:ascii="Arial" w:hAnsi="Arial" w:cs="Arial"/>
                <w:b/>
                <w:bCs/>
                <w:sz w:val="14"/>
                <w:szCs w:val="14"/>
              </w:rPr>
              <w:t>R&amp;D Professional</w:t>
            </w:r>
          </w:p>
          <w:p w14:paraId="57B1D5DA" w14:textId="77777777" w:rsidR="00D5506A" w:rsidRPr="002C4708" w:rsidRDefault="00D5506A" w:rsidP="0024202D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2C4708">
              <w:rPr>
                <w:rFonts w:ascii="Arial" w:hAnsi="Arial" w:cs="Arial"/>
                <w:sz w:val="14"/>
                <w:szCs w:val="14"/>
              </w:rPr>
              <w:t>Designs and evaluates experimental or investigative approaches</w:t>
            </w:r>
          </w:p>
          <w:p w14:paraId="4E3661EC" w14:textId="77777777" w:rsidR="00D5506A" w:rsidRPr="002C4708" w:rsidRDefault="00D5506A" w:rsidP="0024202D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2C4708">
              <w:rPr>
                <w:rFonts w:ascii="Arial" w:hAnsi="Arial" w:cs="Arial"/>
                <w:sz w:val="14"/>
                <w:szCs w:val="14"/>
              </w:rPr>
              <w:t>Analyses and interprets data from trials, modelling, or simulations</w:t>
            </w:r>
          </w:p>
          <w:p w14:paraId="105C85DF" w14:textId="77777777" w:rsidR="00D5506A" w:rsidRPr="002C4708" w:rsidRDefault="00D5506A" w:rsidP="0024202D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2C4708">
              <w:rPr>
                <w:rFonts w:ascii="Arial" w:hAnsi="Arial" w:cs="Arial"/>
                <w:sz w:val="14"/>
                <w:szCs w:val="14"/>
              </w:rPr>
              <w:t>Justifies research methods in terms of scientific and organisational need</w:t>
            </w:r>
          </w:p>
          <w:p w14:paraId="36D90CAF" w14:textId="77777777" w:rsidR="00D5506A" w:rsidRPr="002C4708" w:rsidRDefault="00D5506A" w:rsidP="0024202D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2C4708">
              <w:rPr>
                <w:rFonts w:ascii="Arial" w:hAnsi="Arial" w:cs="Arial"/>
                <w:sz w:val="14"/>
                <w:szCs w:val="14"/>
              </w:rPr>
              <w:t>Connects findings to performance, safety, or innovation objectives</w:t>
            </w:r>
          </w:p>
          <w:p w14:paraId="06AF0F76" w14:textId="29A04782" w:rsidR="00D5506A" w:rsidRPr="00A73D90" w:rsidRDefault="00D5506A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3D90">
              <w:rPr>
                <w:rFonts w:ascii="Arial" w:hAnsi="Arial" w:cs="Arial"/>
                <w:b/>
                <w:bCs/>
                <w:sz w:val="14"/>
                <w:szCs w:val="14"/>
              </w:rPr>
              <w:t>Safety Professional</w:t>
            </w:r>
          </w:p>
          <w:p w14:paraId="04F0D01A" w14:textId="77777777" w:rsidR="00D5506A" w:rsidRPr="00A73D90" w:rsidRDefault="00D5506A" w:rsidP="0024202D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3D90">
              <w:rPr>
                <w:rFonts w:ascii="Arial" w:hAnsi="Arial" w:cs="Arial"/>
                <w:sz w:val="14"/>
                <w:szCs w:val="14"/>
              </w:rPr>
              <w:t>Identifies root causes in incidents or near misses</w:t>
            </w:r>
          </w:p>
          <w:p w14:paraId="41D5129F" w14:textId="77777777" w:rsidR="00D5506A" w:rsidRPr="00A73D90" w:rsidRDefault="00D5506A" w:rsidP="0024202D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3D90">
              <w:rPr>
                <w:rFonts w:ascii="Arial" w:hAnsi="Arial" w:cs="Arial"/>
                <w:sz w:val="14"/>
                <w:szCs w:val="14"/>
              </w:rPr>
              <w:t>Evaluates safety interventions and systems for effectiveness</w:t>
            </w:r>
          </w:p>
          <w:p w14:paraId="55CDFFB6" w14:textId="77777777" w:rsidR="00D5506A" w:rsidRPr="00A73D90" w:rsidRDefault="00D5506A" w:rsidP="0024202D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3D90">
              <w:rPr>
                <w:rFonts w:ascii="Arial" w:hAnsi="Arial" w:cs="Arial"/>
                <w:sz w:val="14"/>
                <w:szCs w:val="14"/>
              </w:rPr>
              <w:t>Applies Haz ID, Haz OP, ALARP, or control hierarchies to support reasoning</w:t>
            </w:r>
          </w:p>
          <w:p w14:paraId="573E3BEF" w14:textId="77777777" w:rsidR="00A73D90" w:rsidRPr="00A73D90" w:rsidRDefault="00D5506A" w:rsidP="0024202D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3D90">
              <w:rPr>
                <w:rFonts w:ascii="Arial" w:hAnsi="Arial" w:cs="Arial"/>
                <w:sz w:val="14"/>
                <w:szCs w:val="14"/>
              </w:rPr>
              <w:t>Uses risk assessments and legislation to guide judgements</w:t>
            </w:r>
          </w:p>
          <w:p w14:paraId="67B45AEB" w14:textId="025D7AD7" w:rsidR="00D5506A" w:rsidRPr="00A73D90" w:rsidRDefault="00D5506A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3D90">
              <w:rPr>
                <w:rFonts w:ascii="Arial" w:hAnsi="Arial" w:cs="Arial"/>
                <w:b/>
                <w:bCs/>
                <w:sz w:val="14"/>
                <w:szCs w:val="14"/>
              </w:rPr>
              <w:t>Manufacturing &amp; Processing Professional</w:t>
            </w:r>
          </w:p>
          <w:p w14:paraId="0D10D75F" w14:textId="77777777" w:rsidR="00D5506A" w:rsidRPr="00A73D90" w:rsidRDefault="00D5506A" w:rsidP="0024202D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3D90">
              <w:rPr>
                <w:rFonts w:ascii="Arial" w:hAnsi="Arial" w:cs="Arial"/>
                <w:sz w:val="14"/>
                <w:szCs w:val="14"/>
              </w:rPr>
              <w:t>Uses structured methods (e.g. PFMEA, QFD, trade-off matrices) to assess and improve processes</w:t>
            </w:r>
          </w:p>
          <w:p w14:paraId="0B63F4DD" w14:textId="77777777" w:rsidR="00D5506A" w:rsidRPr="00A73D90" w:rsidRDefault="00D5506A" w:rsidP="0024202D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3D90">
              <w:rPr>
                <w:rFonts w:ascii="Arial" w:hAnsi="Arial" w:cs="Arial"/>
                <w:sz w:val="14"/>
                <w:szCs w:val="14"/>
              </w:rPr>
              <w:t>Evaluates process capability and suggests improvements</w:t>
            </w:r>
          </w:p>
          <w:p w14:paraId="1250B60C" w14:textId="77777777" w:rsidR="00D5506A" w:rsidRPr="00A73D90" w:rsidRDefault="00D5506A" w:rsidP="0024202D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3D90">
              <w:rPr>
                <w:rFonts w:ascii="Arial" w:hAnsi="Arial" w:cs="Arial"/>
                <w:sz w:val="14"/>
                <w:szCs w:val="14"/>
              </w:rPr>
              <w:t>Justifies selection of design/manufacturing options based on technical reasoning</w:t>
            </w:r>
          </w:p>
          <w:p w14:paraId="58EDE211" w14:textId="77777777" w:rsidR="00D5506A" w:rsidRPr="00A73D90" w:rsidRDefault="00D5506A" w:rsidP="0024202D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3D90">
              <w:rPr>
                <w:rFonts w:ascii="Arial" w:hAnsi="Arial" w:cs="Arial"/>
                <w:sz w:val="14"/>
                <w:szCs w:val="14"/>
              </w:rPr>
              <w:t>Anticipates impact of design changes on product performance or safety</w:t>
            </w:r>
          </w:p>
          <w:p w14:paraId="4BAE9100" w14:textId="6E6D93A1" w:rsidR="00D5506A" w:rsidRPr="002C4708" w:rsidRDefault="00D5506A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C4708">
              <w:rPr>
                <w:rFonts w:ascii="Arial" w:hAnsi="Arial" w:cs="Arial"/>
                <w:b/>
                <w:bCs/>
                <w:sz w:val="14"/>
                <w:szCs w:val="14"/>
              </w:rPr>
              <w:t>Breakdown &amp; Disposal Professional</w:t>
            </w:r>
          </w:p>
          <w:p w14:paraId="02FD91EF" w14:textId="77777777" w:rsidR="00D5506A" w:rsidRPr="002C4708" w:rsidRDefault="00D5506A" w:rsidP="0024202D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2C4708">
              <w:rPr>
                <w:rFonts w:ascii="Arial" w:hAnsi="Arial" w:cs="Arial"/>
                <w:sz w:val="14"/>
                <w:szCs w:val="14"/>
              </w:rPr>
              <w:t>Evaluates complex disposal scenarios and selects appropriate techniques</w:t>
            </w:r>
          </w:p>
          <w:p w14:paraId="698E5E80" w14:textId="77777777" w:rsidR="00D5506A" w:rsidRPr="002C4708" w:rsidRDefault="00D5506A" w:rsidP="0024202D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2C4708">
              <w:rPr>
                <w:rFonts w:ascii="Arial" w:hAnsi="Arial" w:cs="Arial"/>
                <w:sz w:val="14"/>
                <w:szCs w:val="14"/>
              </w:rPr>
              <w:t>Justifies choices based on hazard type, environmental risks, and control options</w:t>
            </w:r>
          </w:p>
          <w:p w14:paraId="595EE022" w14:textId="77777777" w:rsidR="00D5506A" w:rsidRPr="002C4708" w:rsidRDefault="00D5506A" w:rsidP="0024202D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2C4708">
              <w:rPr>
                <w:rFonts w:ascii="Arial" w:hAnsi="Arial" w:cs="Arial"/>
                <w:sz w:val="14"/>
                <w:szCs w:val="14"/>
              </w:rPr>
              <w:t>Applies sound judgement in bespoke or non-routine cases</w:t>
            </w:r>
          </w:p>
          <w:p w14:paraId="725A2859" w14:textId="77777777" w:rsidR="00D5506A" w:rsidRPr="002C4708" w:rsidRDefault="00D5506A" w:rsidP="0024202D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2C4708">
              <w:rPr>
                <w:rFonts w:ascii="Arial" w:hAnsi="Arial" w:cs="Arial"/>
                <w:sz w:val="14"/>
                <w:szCs w:val="14"/>
              </w:rPr>
              <w:t>Reflects critically on disposal outcomes and possible improvements</w:t>
            </w:r>
          </w:p>
          <w:p w14:paraId="0B581013" w14:textId="145A937F" w:rsidR="00D5506A" w:rsidRPr="002C4708" w:rsidRDefault="00D5506A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C4708">
              <w:rPr>
                <w:rFonts w:ascii="Arial" w:hAnsi="Arial" w:cs="Arial"/>
                <w:b/>
                <w:bCs/>
                <w:sz w:val="14"/>
                <w:szCs w:val="14"/>
              </w:rPr>
              <w:t>Test &amp; Evaluation Professional</w:t>
            </w:r>
          </w:p>
          <w:p w14:paraId="41CEFAC8" w14:textId="77777777" w:rsidR="00421873" w:rsidRDefault="00E4723B" w:rsidP="0024202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E4723B">
              <w:rPr>
                <w:rFonts w:ascii="Arial" w:hAnsi="Arial" w:cs="Arial"/>
                <w:sz w:val="14"/>
                <w:szCs w:val="14"/>
              </w:rPr>
              <w:t>Interprets test and trial data and evaluates its alignment with design and customer objectives</w:t>
            </w:r>
          </w:p>
          <w:p w14:paraId="4AA542C3" w14:textId="2FFAC11B" w:rsidR="00D5506A" w:rsidRPr="002C4708" w:rsidRDefault="00D5506A" w:rsidP="0024202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2C4708">
              <w:rPr>
                <w:rFonts w:ascii="Arial" w:hAnsi="Arial" w:cs="Arial"/>
                <w:sz w:val="14"/>
                <w:szCs w:val="14"/>
              </w:rPr>
              <w:t>Demonstrates problem-solving during trials (e.g. instrumentation issues)</w:t>
            </w:r>
          </w:p>
          <w:p w14:paraId="17F3DC21" w14:textId="10D5DFA9" w:rsidR="00BF2343" w:rsidRPr="002C4708" w:rsidRDefault="00D5506A" w:rsidP="0024202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2C4708">
              <w:rPr>
                <w:rFonts w:ascii="Arial" w:hAnsi="Arial" w:cs="Arial"/>
                <w:sz w:val="14"/>
                <w:szCs w:val="14"/>
              </w:rPr>
              <w:t>Justifies test plan</w:t>
            </w:r>
            <w:r w:rsidR="00421873">
              <w:rPr>
                <w:rFonts w:ascii="Arial" w:hAnsi="Arial" w:cs="Arial"/>
                <w:sz w:val="14"/>
                <w:szCs w:val="14"/>
              </w:rPr>
              <w:t>s</w:t>
            </w:r>
            <w:r w:rsidRPr="002C4708">
              <w:rPr>
                <w:rFonts w:ascii="Arial" w:hAnsi="Arial" w:cs="Arial"/>
                <w:sz w:val="14"/>
                <w:szCs w:val="14"/>
              </w:rPr>
              <w:t xml:space="preserve"> and method adaptations with reference to risk and outcomes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08AE0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5F49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A406E5" w14:paraId="5DB1C174" w14:textId="77777777" w:rsidTr="0024202D">
        <w:trPr>
          <w:trHeight w:val="451"/>
        </w:trPr>
        <w:tc>
          <w:tcPr>
            <w:tcW w:w="3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8496" w14:textId="77777777" w:rsidR="00864FAC" w:rsidRPr="00A406E5" w:rsidRDefault="00864FAC" w:rsidP="0024202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57D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25</w:t>
            </w: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2B1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A406E5" w14:paraId="7A943E22" w14:textId="77777777" w:rsidTr="0024202D">
        <w:trPr>
          <w:trHeight w:val="45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7575EFA" w14:textId="77777777" w:rsidR="00864FAC" w:rsidRPr="00A406E5" w:rsidRDefault="00864FAC" w:rsidP="0024202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4. </w:t>
            </w:r>
            <w:r w:rsidRPr="00A406E5">
              <w:rPr>
                <w:rFonts w:ascii="Arial" w:hAnsi="Arial" w:cs="Arial"/>
                <w:b/>
              </w:rPr>
              <w:t xml:space="preserve">Practical Application </w:t>
            </w:r>
            <w:r>
              <w:rPr>
                <w:rFonts w:ascii="Arial" w:hAnsi="Arial" w:cs="Arial"/>
                <w:b/>
              </w:rPr>
              <w:t>Skills</w:t>
            </w:r>
          </w:p>
          <w:p w14:paraId="3DE35C83" w14:textId="77777777" w:rsidR="00864FAC" w:rsidRPr="00A406E5" w:rsidRDefault="00864FAC" w:rsidP="0024202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660D033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2020B9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A406E5" w14:paraId="7E7FF1BD" w14:textId="77777777" w:rsidTr="0024202D">
        <w:trPr>
          <w:trHeight w:val="451"/>
        </w:trPr>
        <w:tc>
          <w:tcPr>
            <w:tcW w:w="3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394BB" w14:textId="29F30F18" w:rsidR="003C60F0" w:rsidRPr="003C60F0" w:rsidRDefault="003C60F0" w:rsidP="0024202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3C60F0">
              <w:rPr>
                <w:rFonts w:ascii="Arial" w:hAnsi="Arial" w:cs="Arial"/>
                <w:b/>
                <w:bCs/>
                <w:sz w:val="14"/>
                <w:szCs w:val="14"/>
              </w:rPr>
              <w:t>General Prompt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: </w:t>
            </w:r>
            <w:r w:rsidRPr="003C60F0">
              <w:rPr>
                <w:rFonts w:ascii="Arial" w:hAnsi="Arial" w:cs="Arial"/>
                <w:sz w:val="14"/>
                <w:szCs w:val="14"/>
              </w:rPr>
              <w:t>Apprentice applies appropriate tools, techniques, and systems in real-world settings. Demonstrates safe, competent, and occupationally relevant practice aligned to OME industry standards</w:t>
            </w:r>
            <w:r w:rsidR="00C40DC7">
              <w:rPr>
                <w:rFonts w:ascii="Arial" w:hAnsi="Arial" w:cs="Arial"/>
                <w:sz w:val="14"/>
                <w:szCs w:val="14"/>
              </w:rPr>
              <w:t xml:space="preserve"> Apprentice demonstrates </w:t>
            </w:r>
            <w:r w:rsidR="008B5BA7">
              <w:rPr>
                <w:rFonts w:ascii="Arial" w:hAnsi="Arial" w:cs="Arial"/>
                <w:sz w:val="14"/>
                <w:szCs w:val="14"/>
              </w:rPr>
              <w:t>e</w:t>
            </w:r>
            <w:r w:rsidRPr="003C60F0">
              <w:rPr>
                <w:rFonts w:ascii="Arial" w:hAnsi="Arial" w:cs="Arial"/>
                <w:sz w:val="14"/>
                <w:szCs w:val="14"/>
              </w:rPr>
              <w:t>vidence of:</w:t>
            </w:r>
          </w:p>
          <w:p w14:paraId="0E0D9FBB" w14:textId="77777777" w:rsidR="003C60F0" w:rsidRPr="00A7482A" w:rsidRDefault="003C60F0" w:rsidP="0024202D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482A">
              <w:rPr>
                <w:rFonts w:ascii="Arial" w:hAnsi="Arial" w:cs="Arial"/>
                <w:sz w:val="14"/>
                <w:szCs w:val="14"/>
              </w:rPr>
              <w:t>Safe systems of work, risk control, and compliance</w:t>
            </w:r>
          </w:p>
          <w:p w14:paraId="3C52FB3D" w14:textId="77777777" w:rsidR="003C60F0" w:rsidRPr="00A7482A" w:rsidRDefault="003C60F0" w:rsidP="0024202D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482A">
              <w:rPr>
                <w:rFonts w:ascii="Arial" w:hAnsi="Arial" w:cs="Arial"/>
                <w:sz w:val="14"/>
                <w:szCs w:val="14"/>
              </w:rPr>
              <w:t>Real-world application of technical tools or methods</w:t>
            </w:r>
          </w:p>
          <w:p w14:paraId="1C2E3F6C" w14:textId="77777777" w:rsidR="003C60F0" w:rsidRPr="00A7482A" w:rsidRDefault="003C60F0" w:rsidP="0024202D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482A">
              <w:rPr>
                <w:rFonts w:ascii="Arial" w:hAnsi="Arial" w:cs="Arial"/>
                <w:sz w:val="14"/>
                <w:szCs w:val="14"/>
              </w:rPr>
              <w:t>Project delivery or workflow improvements</w:t>
            </w:r>
          </w:p>
          <w:p w14:paraId="07B65E3F" w14:textId="77777777" w:rsidR="003C60F0" w:rsidRPr="00A7482A" w:rsidRDefault="003C60F0" w:rsidP="0024202D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482A">
              <w:rPr>
                <w:rFonts w:ascii="Arial" w:hAnsi="Arial" w:cs="Arial"/>
                <w:sz w:val="14"/>
                <w:szCs w:val="14"/>
              </w:rPr>
              <w:t>Environmental responsibility and hazard mitigation</w:t>
            </w:r>
          </w:p>
          <w:p w14:paraId="0D0B5ADE" w14:textId="77777777" w:rsidR="003C60F0" w:rsidRPr="00A7482A" w:rsidRDefault="003C60F0" w:rsidP="0024202D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482A">
              <w:rPr>
                <w:rFonts w:ascii="Arial" w:hAnsi="Arial" w:cs="Arial"/>
                <w:sz w:val="14"/>
                <w:szCs w:val="14"/>
              </w:rPr>
              <w:t>Use of KSBs in operational decision-making</w:t>
            </w:r>
          </w:p>
          <w:p w14:paraId="156E8297" w14:textId="77777777" w:rsidR="003C60F0" w:rsidRPr="00A7482A" w:rsidRDefault="003C60F0" w:rsidP="0024202D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482A">
              <w:rPr>
                <w:rFonts w:ascii="Arial" w:hAnsi="Arial" w:cs="Arial"/>
                <w:sz w:val="14"/>
                <w:szCs w:val="14"/>
              </w:rPr>
              <w:t>Documentation and traceability of actions</w:t>
            </w:r>
          </w:p>
          <w:p w14:paraId="1DF41B3E" w14:textId="5CAE78F5" w:rsidR="003C60F0" w:rsidRPr="00A7482A" w:rsidRDefault="003C60F0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482A">
              <w:rPr>
                <w:rFonts w:ascii="Arial" w:hAnsi="Arial" w:cs="Arial"/>
                <w:b/>
                <w:bCs/>
                <w:sz w:val="14"/>
                <w:szCs w:val="14"/>
              </w:rPr>
              <w:t>Pathway-Specific Prompts</w:t>
            </w:r>
          </w:p>
          <w:p w14:paraId="38C5D6BE" w14:textId="756A3DE2" w:rsidR="003C60F0" w:rsidRPr="00A7482A" w:rsidRDefault="003C60F0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482A">
              <w:rPr>
                <w:rFonts w:ascii="Arial" w:hAnsi="Arial" w:cs="Arial"/>
                <w:b/>
                <w:bCs/>
                <w:sz w:val="14"/>
                <w:szCs w:val="14"/>
              </w:rPr>
              <w:t>R&amp;D Professional</w:t>
            </w:r>
          </w:p>
          <w:p w14:paraId="29F896CB" w14:textId="77777777" w:rsidR="00A07D98" w:rsidRDefault="00A00104" w:rsidP="0024202D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00104">
              <w:rPr>
                <w:rFonts w:ascii="Arial" w:hAnsi="Arial" w:cs="Arial"/>
                <w:sz w:val="14"/>
                <w:szCs w:val="14"/>
              </w:rPr>
              <w:t>Applies specialist research methods, models, and lab/test equipment to solve OME design or safety challenges</w:t>
            </w:r>
          </w:p>
          <w:p w14:paraId="48F4B7D7" w14:textId="73D76989" w:rsidR="003C60F0" w:rsidRPr="00A7482A" w:rsidRDefault="003C60F0" w:rsidP="0024202D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482A">
              <w:rPr>
                <w:rFonts w:ascii="Arial" w:hAnsi="Arial" w:cs="Arial"/>
                <w:sz w:val="14"/>
                <w:szCs w:val="14"/>
              </w:rPr>
              <w:t>Supports test planning with performance criteria and evaluation methods</w:t>
            </w:r>
          </w:p>
          <w:p w14:paraId="2A62CE69" w14:textId="77777777" w:rsidR="003C60F0" w:rsidRPr="00A7482A" w:rsidRDefault="003C60F0" w:rsidP="0024202D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482A">
              <w:rPr>
                <w:rFonts w:ascii="Arial" w:hAnsi="Arial" w:cs="Arial"/>
                <w:sz w:val="14"/>
                <w:szCs w:val="14"/>
              </w:rPr>
              <w:t>Integrates emerging technologies or alternative materials into projects</w:t>
            </w:r>
          </w:p>
          <w:p w14:paraId="1D0F0339" w14:textId="2D2C7DFA" w:rsidR="003C60F0" w:rsidRPr="00A7482A" w:rsidRDefault="003C60F0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482A">
              <w:rPr>
                <w:rFonts w:ascii="Arial" w:hAnsi="Arial" w:cs="Arial"/>
                <w:b/>
                <w:bCs/>
                <w:sz w:val="14"/>
                <w:szCs w:val="14"/>
              </w:rPr>
              <w:t>Safety Professional</w:t>
            </w:r>
          </w:p>
          <w:p w14:paraId="63FB666A" w14:textId="77777777" w:rsidR="003C60F0" w:rsidRPr="00A7482A" w:rsidRDefault="003C60F0" w:rsidP="0024202D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482A">
              <w:rPr>
                <w:rFonts w:ascii="Arial" w:hAnsi="Arial" w:cs="Arial"/>
                <w:sz w:val="14"/>
                <w:szCs w:val="14"/>
              </w:rPr>
              <w:t>Applies safety systems and tools (e.g. Haz ID, Haz OP, ALARP, risk registers)</w:t>
            </w:r>
          </w:p>
          <w:p w14:paraId="706244A0" w14:textId="77777777" w:rsidR="003C60F0" w:rsidRPr="00A7482A" w:rsidRDefault="003C60F0" w:rsidP="0024202D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482A">
              <w:rPr>
                <w:rFonts w:ascii="Arial" w:hAnsi="Arial" w:cs="Arial"/>
                <w:sz w:val="14"/>
                <w:szCs w:val="14"/>
              </w:rPr>
              <w:t>Develops, implements, or audits safety controls in operations</w:t>
            </w:r>
          </w:p>
          <w:p w14:paraId="79AC4216" w14:textId="77777777" w:rsidR="003C60F0" w:rsidRPr="00A7482A" w:rsidRDefault="003C60F0" w:rsidP="0024202D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482A">
              <w:rPr>
                <w:rFonts w:ascii="Arial" w:hAnsi="Arial" w:cs="Arial"/>
                <w:sz w:val="14"/>
                <w:szCs w:val="14"/>
              </w:rPr>
              <w:t>Ensures safe operational practices (e.g. safeguarding, separation distances)</w:t>
            </w:r>
          </w:p>
          <w:p w14:paraId="4B31014B" w14:textId="58704F47" w:rsidR="003C60F0" w:rsidRPr="00A7482A" w:rsidRDefault="003C60F0" w:rsidP="0024202D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482A">
              <w:rPr>
                <w:rFonts w:ascii="Arial" w:hAnsi="Arial" w:cs="Arial"/>
                <w:sz w:val="14"/>
                <w:szCs w:val="14"/>
              </w:rPr>
              <w:t xml:space="preserve">Applies </w:t>
            </w:r>
            <w:r w:rsidR="00FA7AA4">
              <w:rPr>
                <w:rFonts w:ascii="Arial" w:hAnsi="Arial" w:cs="Arial"/>
                <w:sz w:val="14"/>
                <w:szCs w:val="14"/>
              </w:rPr>
              <w:t xml:space="preserve">risk </w:t>
            </w:r>
            <w:r w:rsidRPr="00A7482A">
              <w:rPr>
                <w:rFonts w:ascii="Arial" w:hAnsi="Arial" w:cs="Arial"/>
                <w:sz w:val="14"/>
                <w:szCs w:val="14"/>
              </w:rPr>
              <w:t xml:space="preserve">tolerability principles in workplace </w:t>
            </w:r>
            <w:r w:rsidR="00F0668F">
              <w:rPr>
                <w:rFonts w:ascii="Arial" w:hAnsi="Arial" w:cs="Arial"/>
                <w:sz w:val="14"/>
                <w:szCs w:val="14"/>
              </w:rPr>
              <w:t xml:space="preserve">safety </w:t>
            </w:r>
            <w:r w:rsidRPr="00A7482A">
              <w:rPr>
                <w:rFonts w:ascii="Arial" w:hAnsi="Arial" w:cs="Arial"/>
                <w:sz w:val="14"/>
                <w:szCs w:val="14"/>
              </w:rPr>
              <w:t>decisions</w:t>
            </w:r>
          </w:p>
          <w:p w14:paraId="7A96F700" w14:textId="46FF073F" w:rsidR="003C60F0" w:rsidRPr="00A7482A" w:rsidRDefault="00A7482A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482A">
              <w:rPr>
                <w:rFonts w:ascii="Arial" w:hAnsi="Arial" w:cs="Arial"/>
                <w:b/>
                <w:bCs/>
                <w:sz w:val="14"/>
                <w:szCs w:val="14"/>
              </w:rPr>
              <w:t>M</w:t>
            </w:r>
            <w:r w:rsidR="003C60F0" w:rsidRPr="00A7482A">
              <w:rPr>
                <w:rFonts w:ascii="Arial" w:hAnsi="Arial" w:cs="Arial"/>
                <w:b/>
                <w:bCs/>
                <w:sz w:val="14"/>
                <w:szCs w:val="14"/>
              </w:rPr>
              <w:t>anufacturing &amp; Processing Professional</w:t>
            </w:r>
          </w:p>
          <w:p w14:paraId="6E172E05" w14:textId="7A2C45E7" w:rsidR="00CE0682" w:rsidRDefault="003C60F0" w:rsidP="0024202D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CE0682">
              <w:rPr>
                <w:rFonts w:ascii="Arial" w:hAnsi="Arial" w:cs="Arial"/>
                <w:sz w:val="14"/>
                <w:szCs w:val="14"/>
              </w:rPr>
              <w:t xml:space="preserve">Uses plant, tooling, and </w:t>
            </w:r>
            <w:r w:rsidR="0050324F" w:rsidRPr="00CE0682">
              <w:rPr>
                <w:rFonts w:ascii="Arial" w:hAnsi="Arial" w:cs="Arial"/>
                <w:sz w:val="14"/>
                <w:szCs w:val="14"/>
              </w:rPr>
              <w:t xml:space="preserve"> process </w:t>
            </w:r>
            <w:r w:rsidRPr="00CE0682">
              <w:rPr>
                <w:rFonts w:ascii="Arial" w:hAnsi="Arial" w:cs="Arial"/>
                <w:sz w:val="14"/>
                <w:szCs w:val="14"/>
              </w:rPr>
              <w:t xml:space="preserve">control systems to </w:t>
            </w:r>
            <w:r w:rsidR="003120D1">
              <w:rPr>
                <w:rFonts w:ascii="Arial" w:hAnsi="Arial" w:cs="Arial"/>
                <w:sz w:val="14"/>
                <w:szCs w:val="14"/>
              </w:rPr>
              <w:t xml:space="preserve">perform and improve </w:t>
            </w:r>
            <w:r w:rsidRPr="00CE0682">
              <w:rPr>
                <w:rFonts w:ascii="Arial" w:hAnsi="Arial" w:cs="Arial"/>
                <w:sz w:val="14"/>
                <w:szCs w:val="14"/>
              </w:rPr>
              <w:t xml:space="preserve">manufacturing </w:t>
            </w:r>
            <w:r w:rsidR="00CE0682">
              <w:rPr>
                <w:rFonts w:ascii="Arial" w:hAnsi="Arial" w:cs="Arial"/>
                <w:sz w:val="14"/>
                <w:szCs w:val="14"/>
              </w:rPr>
              <w:t>operations</w:t>
            </w:r>
          </w:p>
          <w:p w14:paraId="605164FB" w14:textId="63653659" w:rsidR="003C60F0" w:rsidRPr="00A7482A" w:rsidRDefault="003C60F0" w:rsidP="0024202D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482A">
              <w:rPr>
                <w:rFonts w:ascii="Arial" w:hAnsi="Arial" w:cs="Arial"/>
                <w:sz w:val="14"/>
                <w:szCs w:val="14"/>
              </w:rPr>
              <w:t>Applies PFMEA and</w:t>
            </w:r>
            <w:r w:rsidR="00A91432">
              <w:rPr>
                <w:rFonts w:ascii="Arial" w:hAnsi="Arial" w:cs="Arial"/>
                <w:sz w:val="14"/>
                <w:szCs w:val="14"/>
              </w:rPr>
              <w:t xml:space="preserve"> commissioning</w:t>
            </w:r>
            <w:r w:rsidR="00015174">
              <w:rPr>
                <w:rFonts w:ascii="Arial" w:hAnsi="Arial" w:cs="Arial"/>
                <w:sz w:val="14"/>
                <w:szCs w:val="14"/>
              </w:rPr>
              <w:t>/test plans to manage process</w:t>
            </w:r>
            <w:r w:rsidRPr="00A7482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F1F0B">
              <w:rPr>
                <w:rFonts w:ascii="Arial" w:hAnsi="Arial" w:cs="Arial"/>
                <w:sz w:val="14"/>
                <w:szCs w:val="14"/>
              </w:rPr>
              <w:t>v</w:t>
            </w:r>
            <w:r w:rsidRPr="00A7482A">
              <w:rPr>
                <w:rFonts w:ascii="Arial" w:hAnsi="Arial" w:cs="Arial"/>
                <w:sz w:val="14"/>
                <w:szCs w:val="14"/>
              </w:rPr>
              <w:t>ariability</w:t>
            </w:r>
          </w:p>
          <w:p w14:paraId="51408361" w14:textId="77149A0C" w:rsidR="003C60F0" w:rsidRPr="00A7482A" w:rsidRDefault="003C60F0" w:rsidP="0024202D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482A">
              <w:rPr>
                <w:rFonts w:ascii="Arial" w:hAnsi="Arial" w:cs="Arial"/>
                <w:sz w:val="14"/>
                <w:szCs w:val="14"/>
              </w:rPr>
              <w:t xml:space="preserve">Demonstrates </w:t>
            </w:r>
            <w:r w:rsidR="00CF6D64">
              <w:rPr>
                <w:rFonts w:ascii="Arial" w:hAnsi="Arial" w:cs="Arial"/>
                <w:sz w:val="14"/>
                <w:szCs w:val="14"/>
              </w:rPr>
              <w:t>operational c</w:t>
            </w:r>
            <w:r w:rsidRPr="00A7482A">
              <w:rPr>
                <w:rFonts w:ascii="Arial" w:hAnsi="Arial" w:cs="Arial"/>
                <w:sz w:val="14"/>
                <w:szCs w:val="14"/>
              </w:rPr>
              <w:t>ompliance with explosives safety legislation</w:t>
            </w:r>
            <w:r w:rsidR="00A20521">
              <w:rPr>
                <w:rFonts w:ascii="Arial" w:hAnsi="Arial" w:cs="Arial"/>
                <w:sz w:val="14"/>
                <w:szCs w:val="14"/>
              </w:rPr>
              <w:t xml:space="preserve"> and quality/safety standards</w:t>
            </w:r>
          </w:p>
          <w:p w14:paraId="2F6B936B" w14:textId="3B2BF61B" w:rsidR="003C60F0" w:rsidRPr="00A7482A" w:rsidRDefault="003C60F0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482A">
              <w:rPr>
                <w:rFonts w:ascii="Arial" w:hAnsi="Arial" w:cs="Arial"/>
                <w:b/>
                <w:bCs/>
                <w:sz w:val="14"/>
                <w:szCs w:val="14"/>
              </w:rPr>
              <w:t>Breakdown &amp; Disposal Professional</w:t>
            </w:r>
          </w:p>
          <w:p w14:paraId="515F794E" w14:textId="68D22970" w:rsidR="003C60F0" w:rsidRPr="004E437A" w:rsidRDefault="003C60F0" w:rsidP="0024202D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4E437A">
              <w:rPr>
                <w:rFonts w:ascii="Arial" w:hAnsi="Arial" w:cs="Arial"/>
                <w:sz w:val="14"/>
                <w:szCs w:val="14"/>
              </w:rPr>
              <w:t>Plans and safely executes disposal or breakdown operations</w:t>
            </w:r>
            <w:r w:rsidR="004E437A" w:rsidRPr="004E437A">
              <w:rPr>
                <w:rFonts w:ascii="Arial" w:hAnsi="Arial" w:cs="Arial"/>
                <w:sz w:val="14"/>
                <w:szCs w:val="14"/>
              </w:rPr>
              <w:t xml:space="preserve"> using </w:t>
            </w:r>
            <w:r w:rsidR="004E437A">
              <w:rPr>
                <w:rFonts w:ascii="Arial" w:hAnsi="Arial" w:cs="Arial"/>
                <w:sz w:val="14"/>
                <w:szCs w:val="14"/>
              </w:rPr>
              <w:t>appropriate</w:t>
            </w:r>
            <w:r w:rsidRPr="004E437A">
              <w:rPr>
                <w:rFonts w:ascii="Arial" w:hAnsi="Arial" w:cs="Arial"/>
                <w:sz w:val="14"/>
                <w:szCs w:val="14"/>
              </w:rPr>
              <w:t xml:space="preserve"> decontamination methods and environmental protection techniques</w:t>
            </w:r>
          </w:p>
          <w:p w14:paraId="3AA4A2BE" w14:textId="77777777" w:rsidR="003C60F0" w:rsidRPr="00A7482A" w:rsidRDefault="003C60F0" w:rsidP="0024202D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482A">
              <w:rPr>
                <w:rFonts w:ascii="Arial" w:hAnsi="Arial" w:cs="Arial"/>
                <w:sz w:val="14"/>
                <w:szCs w:val="14"/>
              </w:rPr>
              <w:t>Responds effectively to non-routine or hazardous scenarios in real time</w:t>
            </w:r>
          </w:p>
          <w:p w14:paraId="0FB891C8" w14:textId="09B8965C" w:rsidR="003C60F0" w:rsidRPr="00A7482A" w:rsidRDefault="003C60F0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482A">
              <w:rPr>
                <w:rFonts w:ascii="Arial" w:hAnsi="Arial" w:cs="Arial"/>
                <w:b/>
                <w:bCs/>
                <w:sz w:val="14"/>
                <w:szCs w:val="14"/>
              </w:rPr>
              <w:t>Test &amp; Evaluation Professional</w:t>
            </w:r>
          </w:p>
          <w:p w14:paraId="36BD5250" w14:textId="77777777" w:rsidR="003C60F0" w:rsidRPr="00A7482A" w:rsidRDefault="003C60F0" w:rsidP="0024202D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482A">
              <w:rPr>
                <w:rFonts w:ascii="Arial" w:hAnsi="Arial" w:cs="Arial"/>
                <w:sz w:val="14"/>
                <w:szCs w:val="14"/>
              </w:rPr>
              <w:t>Plans and conducts large-scale or complex OME trials</w:t>
            </w:r>
          </w:p>
          <w:p w14:paraId="12A3FE86" w14:textId="77777777" w:rsidR="003C60F0" w:rsidRPr="00A7482A" w:rsidRDefault="003C60F0" w:rsidP="0024202D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482A">
              <w:rPr>
                <w:rFonts w:ascii="Arial" w:hAnsi="Arial" w:cs="Arial"/>
                <w:sz w:val="14"/>
                <w:szCs w:val="14"/>
              </w:rPr>
              <w:t>Configures instrumentation and diagnostics aligned to test needs</w:t>
            </w:r>
          </w:p>
          <w:p w14:paraId="4781C714" w14:textId="77777777" w:rsidR="00A7482A" w:rsidRDefault="003C60F0" w:rsidP="0024202D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482A">
              <w:rPr>
                <w:rFonts w:ascii="Arial" w:hAnsi="Arial" w:cs="Arial"/>
                <w:sz w:val="14"/>
                <w:szCs w:val="14"/>
              </w:rPr>
              <w:t>Executes trials safely and methodically with proper documentation</w:t>
            </w:r>
          </w:p>
          <w:p w14:paraId="58428A04" w14:textId="1D2FA2B5" w:rsidR="00992112" w:rsidRPr="00A7482A" w:rsidRDefault="003C60F0" w:rsidP="0024202D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7482A">
              <w:rPr>
                <w:rFonts w:ascii="Arial" w:hAnsi="Arial" w:cs="Arial"/>
                <w:sz w:val="14"/>
                <w:szCs w:val="14"/>
              </w:rPr>
              <w:t>Demonstrates trial safety management and understanding of facility procedures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58FD3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595C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A406E5" w14:paraId="032E2B30" w14:textId="77777777" w:rsidTr="0024202D">
        <w:trPr>
          <w:trHeight w:val="450"/>
        </w:trPr>
        <w:tc>
          <w:tcPr>
            <w:tcW w:w="3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DF44" w14:textId="77777777" w:rsidR="00864FAC" w:rsidRPr="00A406E5" w:rsidRDefault="00864FAC" w:rsidP="0024202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F411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25</w:t>
            </w: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0B23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A406E5" w14:paraId="169258C2" w14:textId="77777777" w:rsidTr="0024202D">
        <w:trPr>
          <w:trHeight w:val="45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D3B9274" w14:textId="77777777" w:rsidR="00864FAC" w:rsidRPr="00A406E5" w:rsidRDefault="00864FAC" w:rsidP="0024202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5. </w:t>
            </w:r>
            <w:r>
              <w:rPr>
                <w:rFonts w:ascii="Arial" w:hAnsi="Arial" w:cs="Arial"/>
                <w:b/>
              </w:rPr>
              <w:t>Transferable S</w:t>
            </w:r>
            <w:r w:rsidRPr="00A406E5">
              <w:rPr>
                <w:rFonts w:ascii="Arial" w:hAnsi="Arial" w:cs="Arial"/>
                <w:b/>
              </w:rPr>
              <w:t xml:space="preserve">kills for </w:t>
            </w:r>
            <w:r>
              <w:rPr>
                <w:rFonts w:ascii="Arial" w:hAnsi="Arial" w:cs="Arial"/>
                <w:b/>
              </w:rPr>
              <w:t xml:space="preserve">Life and </w:t>
            </w:r>
            <w:r w:rsidRPr="00A406E5">
              <w:rPr>
                <w:rFonts w:ascii="Arial" w:hAnsi="Arial" w:cs="Arial"/>
                <w:b/>
              </w:rPr>
              <w:t>Professional Practice</w:t>
            </w:r>
          </w:p>
          <w:p w14:paraId="116E2099" w14:textId="77777777" w:rsidR="00864FAC" w:rsidRPr="00A406E5" w:rsidRDefault="00864FAC" w:rsidP="0024202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8E53764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8ADECE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A406E5" w14:paraId="40D2F7AC" w14:textId="77777777" w:rsidTr="0024202D">
        <w:trPr>
          <w:trHeight w:val="451"/>
        </w:trPr>
        <w:tc>
          <w:tcPr>
            <w:tcW w:w="3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C5DBD" w14:textId="08CD5988" w:rsidR="00A05CA1" w:rsidRPr="00A05CA1" w:rsidRDefault="00A05CA1" w:rsidP="0024202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0A52B4">
              <w:rPr>
                <w:rFonts w:ascii="Arial" w:hAnsi="Arial" w:cs="Arial"/>
                <w:b/>
                <w:bCs/>
                <w:sz w:val="14"/>
                <w:szCs w:val="14"/>
              </w:rPr>
              <w:t>General Prompt: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5CA1">
              <w:rPr>
                <w:rFonts w:ascii="Arial" w:hAnsi="Arial" w:cs="Arial"/>
                <w:sz w:val="14"/>
                <w:szCs w:val="14"/>
              </w:rPr>
              <w:t>Apprentice communicates clearly, behaves professionally, and shows initiative, reflection, and responsibility in line with the OME profession and their role.</w:t>
            </w:r>
            <w:r w:rsidR="00C118DC">
              <w:rPr>
                <w:rFonts w:ascii="Arial" w:hAnsi="Arial" w:cs="Arial"/>
                <w:sz w:val="14"/>
                <w:szCs w:val="14"/>
              </w:rPr>
              <w:t xml:space="preserve"> Apprentice should demonstrate e</w:t>
            </w:r>
            <w:r w:rsidRPr="00A05CA1">
              <w:rPr>
                <w:rFonts w:ascii="Arial" w:hAnsi="Arial" w:cs="Arial"/>
                <w:sz w:val="14"/>
                <w:szCs w:val="14"/>
              </w:rPr>
              <w:t>vidence of:</w:t>
            </w:r>
          </w:p>
          <w:p w14:paraId="4854DB93" w14:textId="77777777" w:rsidR="00A05CA1" w:rsidRPr="000A52B4" w:rsidRDefault="00A05CA1" w:rsidP="0024202D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0A52B4">
              <w:rPr>
                <w:rFonts w:ascii="Arial" w:hAnsi="Arial" w:cs="Arial"/>
                <w:sz w:val="14"/>
                <w:szCs w:val="14"/>
              </w:rPr>
              <w:t>Ethical behaviour, integrity, and professional judgement</w:t>
            </w:r>
          </w:p>
          <w:p w14:paraId="791DB034" w14:textId="77777777" w:rsidR="00A05CA1" w:rsidRPr="000A52B4" w:rsidRDefault="00A05CA1" w:rsidP="0024202D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0A52B4">
              <w:rPr>
                <w:rFonts w:ascii="Arial" w:hAnsi="Arial" w:cs="Arial"/>
                <w:sz w:val="14"/>
                <w:szCs w:val="14"/>
              </w:rPr>
              <w:t>Clear and appropriate written, oral, or visual communication</w:t>
            </w:r>
          </w:p>
          <w:p w14:paraId="57170678" w14:textId="77777777" w:rsidR="00A05CA1" w:rsidRPr="000A52B4" w:rsidRDefault="00A05CA1" w:rsidP="0024202D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0A52B4">
              <w:rPr>
                <w:rFonts w:ascii="Arial" w:hAnsi="Arial" w:cs="Arial"/>
                <w:sz w:val="14"/>
                <w:szCs w:val="14"/>
              </w:rPr>
              <w:t>Collaboration across teams and disciplines</w:t>
            </w:r>
          </w:p>
          <w:p w14:paraId="669E1D66" w14:textId="77777777" w:rsidR="00A05CA1" w:rsidRPr="000A52B4" w:rsidRDefault="00A05CA1" w:rsidP="0024202D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0A52B4">
              <w:rPr>
                <w:rFonts w:ascii="Arial" w:hAnsi="Arial" w:cs="Arial"/>
                <w:sz w:val="14"/>
                <w:szCs w:val="14"/>
              </w:rPr>
              <w:t>Accountability for safety, quality, and environmental responsibility</w:t>
            </w:r>
          </w:p>
          <w:p w14:paraId="1406AA96" w14:textId="77777777" w:rsidR="00A05CA1" w:rsidRPr="000A52B4" w:rsidRDefault="00A05CA1" w:rsidP="0024202D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0A52B4">
              <w:rPr>
                <w:rFonts w:ascii="Arial" w:hAnsi="Arial" w:cs="Arial"/>
                <w:sz w:val="14"/>
                <w:szCs w:val="14"/>
              </w:rPr>
              <w:t>Adaptability to change, feedback, and development</w:t>
            </w:r>
          </w:p>
          <w:p w14:paraId="77153752" w14:textId="77777777" w:rsidR="000A52B4" w:rsidRPr="000A52B4" w:rsidRDefault="00A05CA1" w:rsidP="0024202D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0A52B4">
              <w:rPr>
                <w:rFonts w:ascii="Arial" w:hAnsi="Arial" w:cs="Arial"/>
                <w:sz w:val="14"/>
                <w:szCs w:val="14"/>
              </w:rPr>
              <w:t>Organisation and clarity in work outputs (e.g. reports, plans, presentations)</w:t>
            </w:r>
          </w:p>
          <w:p w14:paraId="72964F2A" w14:textId="66C372B6" w:rsidR="00A05CA1" w:rsidRPr="009A752F" w:rsidRDefault="00A05CA1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A752F">
              <w:rPr>
                <w:rFonts w:ascii="Arial" w:hAnsi="Arial" w:cs="Arial"/>
                <w:b/>
                <w:bCs/>
                <w:sz w:val="14"/>
                <w:szCs w:val="14"/>
              </w:rPr>
              <w:t>Pathway-Specific Prompts</w:t>
            </w:r>
          </w:p>
          <w:p w14:paraId="0B67FD6A" w14:textId="77BAD9A1" w:rsidR="00A05CA1" w:rsidRPr="009A752F" w:rsidRDefault="00A05CA1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A752F">
              <w:rPr>
                <w:rFonts w:ascii="Arial" w:hAnsi="Arial" w:cs="Arial"/>
                <w:b/>
                <w:bCs/>
                <w:sz w:val="14"/>
                <w:szCs w:val="14"/>
              </w:rPr>
              <w:t>R&amp;D Professional</w:t>
            </w:r>
          </w:p>
          <w:p w14:paraId="2F71886D" w14:textId="77777777" w:rsidR="00A05CA1" w:rsidRPr="009A752F" w:rsidRDefault="00A05CA1" w:rsidP="0024202D">
            <w:pPr>
              <w:pStyle w:val="ListParagraph"/>
              <w:numPr>
                <w:ilvl w:val="0"/>
                <w:numId w:val="27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A752F">
              <w:rPr>
                <w:rFonts w:ascii="Arial" w:hAnsi="Arial" w:cs="Arial"/>
                <w:sz w:val="14"/>
                <w:szCs w:val="14"/>
              </w:rPr>
              <w:t>Communicates complex technical findings to both expert and non-expert audiences</w:t>
            </w:r>
          </w:p>
          <w:p w14:paraId="515D6AF5" w14:textId="77777777" w:rsidR="00A05CA1" w:rsidRPr="009A752F" w:rsidRDefault="00A05CA1" w:rsidP="0024202D">
            <w:pPr>
              <w:pStyle w:val="ListParagraph"/>
              <w:numPr>
                <w:ilvl w:val="0"/>
                <w:numId w:val="27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A752F">
              <w:rPr>
                <w:rFonts w:ascii="Arial" w:hAnsi="Arial" w:cs="Arial"/>
                <w:sz w:val="14"/>
                <w:szCs w:val="14"/>
              </w:rPr>
              <w:t>Documents research methods, iterations, and findings clearly</w:t>
            </w:r>
          </w:p>
          <w:p w14:paraId="46BE5EED" w14:textId="77777777" w:rsidR="00A05CA1" w:rsidRPr="009A752F" w:rsidRDefault="00A05CA1" w:rsidP="0024202D">
            <w:pPr>
              <w:pStyle w:val="ListParagraph"/>
              <w:numPr>
                <w:ilvl w:val="0"/>
                <w:numId w:val="27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A752F">
              <w:rPr>
                <w:rFonts w:ascii="Arial" w:hAnsi="Arial" w:cs="Arial"/>
                <w:sz w:val="14"/>
                <w:szCs w:val="14"/>
              </w:rPr>
              <w:t>Responds flexibly to evolving technology or obsolescence</w:t>
            </w:r>
          </w:p>
          <w:p w14:paraId="6237C251" w14:textId="77777777" w:rsidR="00A05CA1" w:rsidRPr="009A752F" w:rsidRDefault="00A05CA1" w:rsidP="0024202D">
            <w:pPr>
              <w:pStyle w:val="ListParagraph"/>
              <w:numPr>
                <w:ilvl w:val="0"/>
                <w:numId w:val="27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A752F">
              <w:rPr>
                <w:rFonts w:ascii="Arial" w:hAnsi="Arial" w:cs="Arial"/>
                <w:sz w:val="14"/>
                <w:szCs w:val="14"/>
              </w:rPr>
              <w:t>Demonstrates scientific professionalism and ethical awareness</w:t>
            </w:r>
          </w:p>
          <w:p w14:paraId="2FF199A0" w14:textId="16A80B81" w:rsidR="00A05CA1" w:rsidRPr="004A79FA" w:rsidRDefault="00A05CA1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A752F">
              <w:rPr>
                <w:rFonts w:ascii="Arial" w:hAnsi="Arial" w:cs="Arial"/>
                <w:b/>
                <w:bCs/>
                <w:sz w:val="14"/>
                <w:szCs w:val="14"/>
              </w:rPr>
              <w:t>Safety Professiona</w:t>
            </w:r>
            <w:r w:rsidR="002A5CF9"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</w:p>
          <w:p w14:paraId="17A4A7C0" w14:textId="77777777" w:rsidR="00A05CA1" w:rsidRPr="009A752F" w:rsidRDefault="00A05CA1" w:rsidP="0024202D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A752F">
              <w:rPr>
                <w:rFonts w:ascii="Arial" w:hAnsi="Arial" w:cs="Arial"/>
                <w:sz w:val="14"/>
                <w:szCs w:val="14"/>
              </w:rPr>
              <w:t>Clearly explains risk information and safety procedures</w:t>
            </w:r>
          </w:p>
          <w:p w14:paraId="5D073034" w14:textId="77777777" w:rsidR="00A05CA1" w:rsidRPr="009A752F" w:rsidRDefault="00A05CA1" w:rsidP="0024202D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A752F">
              <w:rPr>
                <w:rFonts w:ascii="Arial" w:hAnsi="Arial" w:cs="Arial"/>
                <w:sz w:val="14"/>
                <w:szCs w:val="14"/>
              </w:rPr>
              <w:t>Participates in training or policy discussions related to safety</w:t>
            </w:r>
          </w:p>
          <w:p w14:paraId="2AF29D29" w14:textId="77777777" w:rsidR="00A05CA1" w:rsidRPr="009A752F" w:rsidRDefault="00A05CA1" w:rsidP="0024202D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A752F">
              <w:rPr>
                <w:rFonts w:ascii="Arial" w:hAnsi="Arial" w:cs="Arial"/>
                <w:sz w:val="14"/>
                <w:szCs w:val="14"/>
              </w:rPr>
              <w:t>Demonstrates ethical decision-making in sensitive or high-stakes contexts</w:t>
            </w:r>
          </w:p>
          <w:p w14:paraId="3807B890" w14:textId="49A775E5" w:rsidR="00A05CA1" w:rsidRPr="009A752F" w:rsidRDefault="000A52B4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A752F">
              <w:rPr>
                <w:rFonts w:ascii="Arial" w:hAnsi="Arial" w:cs="Arial"/>
                <w:b/>
                <w:bCs/>
                <w:sz w:val="14"/>
                <w:szCs w:val="14"/>
              </w:rPr>
              <w:t>M</w:t>
            </w:r>
            <w:r w:rsidR="00A05CA1" w:rsidRPr="009A752F">
              <w:rPr>
                <w:rFonts w:ascii="Arial" w:hAnsi="Arial" w:cs="Arial"/>
                <w:b/>
                <w:bCs/>
                <w:sz w:val="14"/>
                <w:szCs w:val="14"/>
              </w:rPr>
              <w:t>anufacturing &amp; Processing Professional</w:t>
            </w:r>
          </w:p>
          <w:p w14:paraId="1B4033B9" w14:textId="77777777" w:rsidR="00A05CA1" w:rsidRPr="009A752F" w:rsidRDefault="00A05CA1" w:rsidP="0024202D">
            <w:pPr>
              <w:pStyle w:val="ListParagraph"/>
              <w:numPr>
                <w:ilvl w:val="0"/>
                <w:numId w:val="29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A752F">
              <w:rPr>
                <w:rFonts w:ascii="Arial" w:hAnsi="Arial" w:cs="Arial"/>
                <w:sz w:val="14"/>
                <w:szCs w:val="14"/>
              </w:rPr>
              <w:t>Communicates effectively across engineering, safety, and quality teams</w:t>
            </w:r>
          </w:p>
          <w:p w14:paraId="5185AB64" w14:textId="77777777" w:rsidR="00A05CA1" w:rsidRPr="009A752F" w:rsidRDefault="00A05CA1" w:rsidP="0024202D">
            <w:pPr>
              <w:pStyle w:val="ListParagraph"/>
              <w:numPr>
                <w:ilvl w:val="0"/>
                <w:numId w:val="29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A752F">
              <w:rPr>
                <w:rFonts w:ascii="Arial" w:hAnsi="Arial" w:cs="Arial"/>
                <w:sz w:val="14"/>
                <w:szCs w:val="14"/>
              </w:rPr>
              <w:t>Maintains accurate documentation for audits, schedules, and controls</w:t>
            </w:r>
          </w:p>
          <w:p w14:paraId="4E6BEC0F" w14:textId="77777777" w:rsidR="00A05CA1" w:rsidRPr="009A752F" w:rsidRDefault="00A05CA1" w:rsidP="0024202D">
            <w:pPr>
              <w:pStyle w:val="ListParagraph"/>
              <w:numPr>
                <w:ilvl w:val="0"/>
                <w:numId w:val="29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A752F">
              <w:rPr>
                <w:rFonts w:ascii="Arial" w:hAnsi="Arial" w:cs="Arial"/>
                <w:sz w:val="14"/>
                <w:szCs w:val="14"/>
              </w:rPr>
              <w:t>Takes leadership in problem-solving and process improvement initiatives</w:t>
            </w:r>
          </w:p>
          <w:p w14:paraId="7FF1F8AF" w14:textId="3019A0B1" w:rsidR="00A05CA1" w:rsidRPr="009A752F" w:rsidRDefault="00A05CA1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A752F">
              <w:rPr>
                <w:rFonts w:ascii="Arial" w:hAnsi="Arial" w:cs="Arial"/>
                <w:b/>
                <w:bCs/>
                <w:sz w:val="14"/>
                <w:szCs w:val="14"/>
              </w:rPr>
              <w:t>Breakdown &amp; Disposal Professional</w:t>
            </w:r>
          </w:p>
          <w:p w14:paraId="00DE40C6" w14:textId="77777777" w:rsidR="00A05CA1" w:rsidRPr="009A752F" w:rsidRDefault="00A05CA1" w:rsidP="0024202D">
            <w:pPr>
              <w:pStyle w:val="ListParagraph"/>
              <w:numPr>
                <w:ilvl w:val="0"/>
                <w:numId w:val="30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A752F">
              <w:rPr>
                <w:rFonts w:ascii="Arial" w:hAnsi="Arial" w:cs="Arial"/>
                <w:sz w:val="14"/>
                <w:szCs w:val="14"/>
              </w:rPr>
              <w:t>Communicates breakdown plans and hazards clearly and accurately</w:t>
            </w:r>
          </w:p>
          <w:p w14:paraId="44CBC7F1" w14:textId="77A650F1" w:rsidR="00A05CA1" w:rsidRPr="009A752F" w:rsidRDefault="00A05CA1" w:rsidP="0024202D">
            <w:pPr>
              <w:pStyle w:val="ListParagraph"/>
              <w:numPr>
                <w:ilvl w:val="0"/>
                <w:numId w:val="30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A752F">
              <w:rPr>
                <w:rFonts w:ascii="Arial" w:hAnsi="Arial" w:cs="Arial"/>
                <w:sz w:val="14"/>
                <w:szCs w:val="14"/>
              </w:rPr>
              <w:t>Maintains accurate records of disposal methods and outcomes</w:t>
            </w:r>
          </w:p>
          <w:p w14:paraId="2E34F69D" w14:textId="77777777" w:rsidR="00A05CA1" w:rsidRPr="009A752F" w:rsidRDefault="00A05CA1" w:rsidP="0024202D">
            <w:pPr>
              <w:pStyle w:val="ListParagraph"/>
              <w:numPr>
                <w:ilvl w:val="0"/>
                <w:numId w:val="30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A752F">
              <w:rPr>
                <w:rFonts w:ascii="Arial" w:hAnsi="Arial" w:cs="Arial"/>
                <w:sz w:val="14"/>
                <w:szCs w:val="14"/>
              </w:rPr>
              <w:t>Acts responsibly in high-risk, multi-stakeholder environments</w:t>
            </w:r>
          </w:p>
          <w:p w14:paraId="499340A4" w14:textId="77777777" w:rsidR="00A05CA1" w:rsidRPr="009A752F" w:rsidRDefault="00A05CA1" w:rsidP="0024202D">
            <w:pPr>
              <w:pStyle w:val="ListParagraph"/>
              <w:numPr>
                <w:ilvl w:val="0"/>
                <w:numId w:val="30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A752F">
              <w:rPr>
                <w:rFonts w:ascii="Arial" w:hAnsi="Arial" w:cs="Arial"/>
                <w:sz w:val="14"/>
                <w:szCs w:val="14"/>
              </w:rPr>
              <w:t>Coordinates with environmental, safety, and logistics personnel effectively</w:t>
            </w:r>
          </w:p>
          <w:p w14:paraId="40C95328" w14:textId="76412D3E" w:rsidR="00A05CA1" w:rsidRPr="009A752F" w:rsidRDefault="00A05CA1" w:rsidP="002420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A752F">
              <w:rPr>
                <w:rFonts w:ascii="Arial" w:hAnsi="Arial" w:cs="Arial"/>
                <w:b/>
                <w:bCs/>
                <w:sz w:val="14"/>
                <w:szCs w:val="14"/>
              </w:rPr>
              <w:t>Test &amp; Evaluation Professional</w:t>
            </w:r>
          </w:p>
          <w:p w14:paraId="0687F290" w14:textId="77777777" w:rsidR="00A05CA1" w:rsidRPr="009A752F" w:rsidRDefault="00A05CA1" w:rsidP="0024202D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A752F">
              <w:rPr>
                <w:rFonts w:ascii="Arial" w:hAnsi="Arial" w:cs="Arial"/>
                <w:sz w:val="14"/>
                <w:szCs w:val="14"/>
              </w:rPr>
              <w:t>Presents results clearly through reports, visuals, and data summaries</w:t>
            </w:r>
          </w:p>
          <w:p w14:paraId="430B2829" w14:textId="3BFAC1C7" w:rsidR="00A05CA1" w:rsidRPr="00940F92" w:rsidRDefault="00A05CA1" w:rsidP="0024202D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0F92">
              <w:rPr>
                <w:rFonts w:ascii="Arial" w:hAnsi="Arial" w:cs="Arial"/>
                <w:sz w:val="14"/>
                <w:szCs w:val="14"/>
              </w:rPr>
              <w:t>Communicates with internal and external stakeholders confidently</w:t>
            </w:r>
            <w:r w:rsidR="00940F92" w:rsidRPr="00940F92">
              <w:rPr>
                <w:rFonts w:ascii="Arial" w:hAnsi="Arial" w:cs="Arial"/>
                <w:sz w:val="14"/>
                <w:szCs w:val="14"/>
              </w:rPr>
              <w:t xml:space="preserve"> and </w:t>
            </w:r>
            <w:r w:rsidR="00940F92">
              <w:rPr>
                <w:rFonts w:ascii="Arial" w:hAnsi="Arial" w:cs="Arial"/>
                <w:sz w:val="14"/>
                <w:szCs w:val="14"/>
              </w:rPr>
              <w:t>m</w:t>
            </w:r>
            <w:r w:rsidRPr="00940F92">
              <w:rPr>
                <w:rFonts w:ascii="Arial" w:hAnsi="Arial" w:cs="Arial"/>
                <w:sz w:val="14"/>
                <w:szCs w:val="14"/>
              </w:rPr>
              <w:t>aintains accurate and safety-compliant trial documentation</w:t>
            </w:r>
          </w:p>
          <w:p w14:paraId="4A68BEC9" w14:textId="7816CE1C" w:rsidR="00010003" w:rsidRPr="009A752F" w:rsidRDefault="00A05CA1" w:rsidP="0024202D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A752F">
              <w:rPr>
                <w:rFonts w:ascii="Arial" w:hAnsi="Arial" w:cs="Arial"/>
                <w:sz w:val="14"/>
                <w:szCs w:val="14"/>
              </w:rPr>
              <w:t>Collaborates professionally with range staff, engineers, and safety leads</w:t>
            </w:r>
            <w:r w:rsidR="00010003" w:rsidRPr="009A752F">
              <w:rPr>
                <w:rFonts w:ascii="Arial" w:hAnsi="Arial" w:cs="Arial"/>
                <w:sz w:val="14"/>
                <w:szCs w:val="14"/>
              </w:rPr>
              <w:tab/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C018F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15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8AF0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A406E5" w14:paraId="13AB912A" w14:textId="77777777" w:rsidTr="0024202D">
        <w:trPr>
          <w:trHeight w:val="450"/>
        </w:trPr>
        <w:tc>
          <w:tcPr>
            <w:tcW w:w="3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5D32" w14:textId="77777777" w:rsidR="00864FAC" w:rsidRPr="00A406E5" w:rsidRDefault="00864FAC" w:rsidP="0024202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D98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DF62" w14:textId="77777777" w:rsidR="00864FAC" w:rsidRPr="00A406E5" w:rsidRDefault="00864FAC" w:rsidP="002420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</w:tbl>
    <w:p w14:paraId="525CC44E" w14:textId="77777777" w:rsidR="00B264F6" w:rsidRPr="00A406E5" w:rsidRDefault="00B264F6" w:rsidP="00B264F6">
      <w:pPr>
        <w:rPr>
          <w:rFonts w:ascii="Arial" w:hAnsi="Arial" w:cs="Arial"/>
        </w:rPr>
      </w:pPr>
    </w:p>
    <w:p w14:paraId="7B0955C2" w14:textId="77777777" w:rsidR="00B264F6" w:rsidRPr="00A406E5" w:rsidRDefault="00B264F6" w:rsidP="00B264F6">
      <w:pPr>
        <w:rPr>
          <w:rFonts w:ascii="Arial" w:hAnsi="Arial" w:cs="Arial"/>
          <w:b/>
          <w:sz w:val="22"/>
          <w:szCs w:val="22"/>
        </w:rPr>
        <w:sectPr w:rsidR="00B264F6" w:rsidRPr="00A406E5" w:rsidSect="00B264F6">
          <w:footerReference w:type="default" r:id="rId9"/>
          <w:pgSz w:w="11894" w:h="16834"/>
          <w:pgMar w:top="426" w:right="720" w:bottom="851" w:left="720" w:header="706" w:footer="454" w:gutter="0"/>
          <w:paperSrc w:first="1" w:other="1"/>
          <w:cols w:space="720"/>
          <w:docGrid w:linePitch="272"/>
        </w:sectPr>
      </w:pPr>
    </w:p>
    <w:p w14:paraId="302BEAFD" w14:textId="77777777" w:rsidR="00B264F6" w:rsidRPr="00A406E5" w:rsidRDefault="00B264F6" w:rsidP="00B264F6">
      <w:pPr>
        <w:rPr>
          <w:rFonts w:ascii="Arial" w:hAnsi="Arial" w:cs="Arial"/>
          <w:b/>
          <w:sz w:val="22"/>
          <w:szCs w:val="22"/>
        </w:rPr>
      </w:pPr>
    </w:p>
    <w:p w14:paraId="5ECB4986" w14:textId="77777777" w:rsidR="00B264F6" w:rsidRPr="00A406E5" w:rsidRDefault="00B264F6" w:rsidP="00B264F6">
      <w:pPr>
        <w:ind w:left="284" w:right="531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82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2903"/>
        <w:gridCol w:w="641"/>
        <w:gridCol w:w="1060"/>
      </w:tblGrid>
      <w:tr w:rsidR="00B264F6" w:rsidRPr="00A406E5" w14:paraId="6B97183D" w14:textId="77777777" w:rsidTr="004A2975">
        <w:trPr>
          <w:cantSplit/>
        </w:trPr>
        <w:tc>
          <w:tcPr>
            <w:tcW w:w="6062" w:type="dxa"/>
            <w:vMerge w:val="restart"/>
            <w:shd w:val="pct15" w:color="auto" w:fill="auto"/>
            <w:vAlign w:val="center"/>
          </w:tcPr>
          <w:p w14:paraId="37D074A5" w14:textId="77777777" w:rsidR="00B264F6" w:rsidRPr="00A406E5" w:rsidRDefault="00B264F6" w:rsidP="004A2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  <w:r w:rsidRPr="00A406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Mark </w:t>
            </w:r>
            <w:r w:rsidRPr="00A406E5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A406E5">
              <w:rPr>
                <w:rFonts w:ascii="Arial" w:hAnsi="Arial" w:cs="Arial"/>
                <w:sz w:val="16"/>
                <w:szCs w:val="16"/>
              </w:rPr>
              <w:t>Assessment marks are subject to ratification at the Exam Board.  These comments and marks are to give feedback on module work and are for guidance only until they are confirmed. 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317A50C" w14:textId="77777777" w:rsidR="00B264F6" w:rsidRPr="00A406E5" w:rsidRDefault="00B264F6" w:rsidP="004A29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 w:val="16"/>
                <w:szCs w:val="16"/>
              </w:rPr>
              <w:t>Late Submission Penalties (tick if appropriate)</w:t>
            </w:r>
          </w:p>
        </w:tc>
        <w:tc>
          <w:tcPr>
            <w:tcW w:w="1060" w:type="dxa"/>
            <w:vMerge w:val="restart"/>
            <w:vAlign w:val="center"/>
          </w:tcPr>
          <w:p w14:paraId="4D23A5A9" w14:textId="77777777" w:rsidR="00B264F6" w:rsidRPr="00A406E5" w:rsidRDefault="00B264F6" w:rsidP="004A2975">
            <w:pPr>
              <w:jc w:val="right"/>
              <w:rPr>
                <w:rFonts w:ascii="Arial" w:hAnsi="Arial" w:cs="Arial"/>
                <w:b/>
                <w:bCs/>
              </w:rPr>
            </w:pPr>
            <w:r w:rsidRPr="00A406E5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B264F6" w:rsidRPr="00A406E5" w14:paraId="21E2BA72" w14:textId="77777777" w:rsidTr="004A2975">
        <w:trPr>
          <w:cantSplit/>
        </w:trPr>
        <w:tc>
          <w:tcPr>
            <w:tcW w:w="6062" w:type="dxa"/>
            <w:vMerge/>
            <w:vAlign w:val="bottom"/>
          </w:tcPr>
          <w:p w14:paraId="1E89BFD1" w14:textId="77777777" w:rsidR="00B264F6" w:rsidRPr="00A406E5" w:rsidRDefault="00B264F6" w:rsidP="004A2975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25907EE2" w14:textId="77777777" w:rsidR="00B264F6" w:rsidRPr="00A406E5" w:rsidRDefault="00B264F6" w:rsidP="004A29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06E5">
              <w:rPr>
                <w:rFonts w:ascii="Arial" w:hAnsi="Arial" w:cs="Arial"/>
                <w:sz w:val="16"/>
                <w:szCs w:val="16"/>
              </w:rPr>
              <w:t>Up to 1 week late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406E5">
              <w:rPr>
                <w:rFonts w:ascii="Arial" w:hAnsi="Arial" w:cs="Arial"/>
                <w:sz w:val="12"/>
                <w:szCs w:val="12"/>
              </w:rPr>
              <w:t>40% Max</w:t>
            </w:r>
            <w:r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641" w:type="dxa"/>
            <w:vAlign w:val="bottom"/>
          </w:tcPr>
          <w:p w14:paraId="3360624B" w14:textId="77777777" w:rsidR="00B264F6" w:rsidRPr="00A406E5" w:rsidRDefault="00B264F6" w:rsidP="004A297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13A7A7F2" w14:textId="77777777" w:rsidR="00B264F6" w:rsidRPr="00A406E5" w:rsidRDefault="00B264F6" w:rsidP="004A2975">
            <w:pPr>
              <w:ind w:leftChars="71" w:left="142"/>
              <w:rPr>
                <w:rFonts w:ascii="Arial" w:hAnsi="Arial" w:cs="Arial"/>
              </w:rPr>
            </w:pPr>
          </w:p>
        </w:tc>
      </w:tr>
      <w:tr w:rsidR="00B264F6" w:rsidRPr="00A406E5" w14:paraId="379FA08D" w14:textId="77777777" w:rsidTr="004A2975">
        <w:trPr>
          <w:cantSplit/>
        </w:trPr>
        <w:tc>
          <w:tcPr>
            <w:tcW w:w="6062" w:type="dxa"/>
            <w:vMerge/>
            <w:vAlign w:val="bottom"/>
          </w:tcPr>
          <w:p w14:paraId="12175E7D" w14:textId="77777777" w:rsidR="00B264F6" w:rsidRPr="00A406E5" w:rsidRDefault="00B264F6" w:rsidP="004A2975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2590A84B" w14:textId="77777777" w:rsidR="00B264F6" w:rsidRPr="00A406E5" w:rsidRDefault="00B264F6" w:rsidP="004A29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06E5">
              <w:rPr>
                <w:rFonts w:ascii="Arial" w:hAnsi="Arial" w:cs="Arial"/>
                <w:sz w:val="16"/>
                <w:szCs w:val="16"/>
              </w:rPr>
              <w:t>Over 1 week late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406E5">
              <w:rPr>
                <w:rFonts w:ascii="Arial" w:hAnsi="Arial" w:cs="Arial"/>
                <w:sz w:val="12"/>
                <w:szCs w:val="12"/>
              </w:rPr>
              <w:t>0%</w:t>
            </w:r>
            <w:r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641" w:type="dxa"/>
            <w:vAlign w:val="bottom"/>
          </w:tcPr>
          <w:p w14:paraId="399518A4" w14:textId="77777777" w:rsidR="00B264F6" w:rsidRPr="00A406E5" w:rsidRDefault="00B264F6" w:rsidP="004A297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27DF2BCA" w14:textId="77777777" w:rsidR="00B264F6" w:rsidRPr="00A406E5" w:rsidRDefault="00B264F6" w:rsidP="004A2975">
            <w:pPr>
              <w:ind w:firstLineChars="141" w:firstLine="282"/>
              <w:rPr>
                <w:rFonts w:ascii="Arial" w:hAnsi="Arial" w:cs="Arial"/>
              </w:rPr>
            </w:pPr>
          </w:p>
        </w:tc>
      </w:tr>
    </w:tbl>
    <w:p w14:paraId="01DF1599" w14:textId="77777777" w:rsidR="00B264F6" w:rsidRDefault="00B264F6" w:rsidP="00B264F6">
      <w:pPr>
        <w:rPr>
          <w:rFonts w:ascii="Arial" w:hAnsi="Arial" w:cs="Arial"/>
        </w:rPr>
      </w:pPr>
    </w:p>
    <w:sectPr w:rsidR="00B26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1AFA" w14:textId="77777777" w:rsidR="004C794C" w:rsidRDefault="004C794C">
      <w:r>
        <w:separator/>
      </w:r>
    </w:p>
  </w:endnote>
  <w:endnote w:type="continuationSeparator" w:id="0">
    <w:p w14:paraId="70856C71" w14:textId="77777777" w:rsidR="004C794C" w:rsidRDefault="004C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2FEC" w14:textId="77777777" w:rsidR="001B2236" w:rsidRDefault="00421873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9</w:t>
    </w:r>
    <w:r>
      <w:rPr>
        <w:b/>
        <w:sz w:val="24"/>
        <w:szCs w:val="24"/>
      </w:rPr>
      <w:fldChar w:fldCharType="end"/>
    </w:r>
  </w:p>
  <w:p w14:paraId="13D76A6C" w14:textId="77777777" w:rsidR="001B2236" w:rsidRDefault="001B2236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0CD97" w14:textId="77777777" w:rsidR="004C794C" w:rsidRDefault="004C794C">
      <w:r>
        <w:separator/>
      </w:r>
    </w:p>
  </w:footnote>
  <w:footnote w:type="continuationSeparator" w:id="0">
    <w:p w14:paraId="0A8C65EE" w14:textId="77777777" w:rsidR="004C794C" w:rsidRDefault="004C7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6E8"/>
    <w:multiLevelType w:val="hybridMultilevel"/>
    <w:tmpl w:val="D13A4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2A47"/>
    <w:multiLevelType w:val="hybridMultilevel"/>
    <w:tmpl w:val="4666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13EDB"/>
    <w:multiLevelType w:val="hybridMultilevel"/>
    <w:tmpl w:val="401CE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66922"/>
    <w:multiLevelType w:val="hybridMultilevel"/>
    <w:tmpl w:val="3BB05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35701"/>
    <w:multiLevelType w:val="hybridMultilevel"/>
    <w:tmpl w:val="10644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F1B51"/>
    <w:multiLevelType w:val="hybridMultilevel"/>
    <w:tmpl w:val="6E66D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F43BF"/>
    <w:multiLevelType w:val="hybridMultilevel"/>
    <w:tmpl w:val="874CE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52296"/>
    <w:multiLevelType w:val="hybridMultilevel"/>
    <w:tmpl w:val="FD4CD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34B6C"/>
    <w:multiLevelType w:val="hybridMultilevel"/>
    <w:tmpl w:val="616CD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612B3"/>
    <w:multiLevelType w:val="hybridMultilevel"/>
    <w:tmpl w:val="3CB42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A4721"/>
    <w:multiLevelType w:val="hybridMultilevel"/>
    <w:tmpl w:val="1A709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10C5C"/>
    <w:multiLevelType w:val="hybridMultilevel"/>
    <w:tmpl w:val="96D86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3F5C"/>
    <w:multiLevelType w:val="hybridMultilevel"/>
    <w:tmpl w:val="E51E6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90994"/>
    <w:multiLevelType w:val="hybridMultilevel"/>
    <w:tmpl w:val="3612D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BA1"/>
    <w:multiLevelType w:val="hybridMultilevel"/>
    <w:tmpl w:val="89540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D4556"/>
    <w:multiLevelType w:val="hybridMultilevel"/>
    <w:tmpl w:val="8710D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A0167"/>
    <w:multiLevelType w:val="hybridMultilevel"/>
    <w:tmpl w:val="E7569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B05C4"/>
    <w:multiLevelType w:val="hybridMultilevel"/>
    <w:tmpl w:val="AAEED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5775A"/>
    <w:multiLevelType w:val="hybridMultilevel"/>
    <w:tmpl w:val="18ACE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4543D"/>
    <w:multiLevelType w:val="hybridMultilevel"/>
    <w:tmpl w:val="FC866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423C5"/>
    <w:multiLevelType w:val="hybridMultilevel"/>
    <w:tmpl w:val="E9121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16BC5"/>
    <w:multiLevelType w:val="hybridMultilevel"/>
    <w:tmpl w:val="4C827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121A5"/>
    <w:multiLevelType w:val="hybridMultilevel"/>
    <w:tmpl w:val="B8982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E42EE"/>
    <w:multiLevelType w:val="hybridMultilevel"/>
    <w:tmpl w:val="D22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C7458"/>
    <w:multiLevelType w:val="hybridMultilevel"/>
    <w:tmpl w:val="52260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D4F4B"/>
    <w:multiLevelType w:val="hybridMultilevel"/>
    <w:tmpl w:val="91562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C048A"/>
    <w:multiLevelType w:val="hybridMultilevel"/>
    <w:tmpl w:val="C8D4F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F46CD"/>
    <w:multiLevelType w:val="hybridMultilevel"/>
    <w:tmpl w:val="EF122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03E6E"/>
    <w:multiLevelType w:val="hybridMultilevel"/>
    <w:tmpl w:val="7B22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11F90"/>
    <w:multiLevelType w:val="hybridMultilevel"/>
    <w:tmpl w:val="194AB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D79C9"/>
    <w:multiLevelType w:val="hybridMultilevel"/>
    <w:tmpl w:val="B2448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74150">
    <w:abstractNumId w:val="13"/>
  </w:num>
  <w:num w:numId="2" w16cid:durableId="1330870328">
    <w:abstractNumId w:val="9"/>
  </w:num>
  <w:num w:numId="3" w16cid:durableId="834951316">
    <w:abstractNumId w:val="4"/>
  </w:num>
  <w:num w:numId="4" w16cid:durableId="68384338">
    <w:abstractNumId w:val="0"/>
  </w:num>
  <w:num w:numId="5" w16cid:durableId="437649553">
    <w:abstractNumId w:val="17"/>
  </w:num>
  <w:num w:numId="6" w16cid:durableId="1103381238">
    <w:abstractNumId w:val="5"/>
  </w:num>
  <w:num w:numId="7" w16cid:durableId="1004089848">
    <w:abstractNumId w:val="24"/>
  </w:num>
  <w:num w:numId="8" w16cid:durableId="1939674551">
    <w:abstractNumId w:val="15"/>
  </w:num>
  <w:num w:numId="9" w16cid:durableId="170489792">
    <w:abstractNumId w:val="21"/>
  </w:num>
  <w:num w:numId="10" w16cid:durableId="163520740">
    <w:abstractNumId w:val="28"/>
  </w:num>
  <w:num w:numId="11" w16cid:durableId="1558978900">
    <w:abstractNumId w:val="22"/>
  </w:num>
  <w:num w:numId="12" w16cid:durableId="1069571251">
    <w:abstractNumId w:val="12"/>
  </w:num>
  <w:num w:numId="13" w16cid:durableId="499853416">
    <w:abstractNumId w:val="8"/>
  </w:num>
  <w:num w:numId="14" w16cid:durableId="38476322">
    <w:abstractNumId w:val="19"/>
  </w:num>
  <w:num w:numId="15" w16cid:durableId="266697687">
    <w:abstractNumId w:val="6"/>
  </w:num>
  <w:num w:numId="16" w16cid:durableId="833644145">
    <w:abstractNumId w:val="7"/>
  </w:num>
  <w:num w:numId="17" w16cid:durableId="465780269">
    <w:abstractNumId w:val="18"/>
  </w:num>
  <w:num w:numId="18" w16cid:durableId="2081705310">
    <w:abstractNumId w:val="29"/>
  </w:num>
  <w:num w:numId="19" w16cid:durableId="2104955996">
    <w:abstractNumId w:val="1"/>
  </w:num>
  <w:num w:numId="20" w16cid:durableId="1348210687">
    <w:abstractNumId w:val="27"/>
  </w:num>
  <w:num w:numId="21" w16cid:durableId="1028458075">
    <w:abstractNumId w:val="26"/>
  </w:num>
  <w:num w:numId="22" w16cid:durableId="1559976809">
    <w:abstractNumId w:val="11"/>
  </w:num>
  <w:num w:numId="23" w16cid:durableId="1320497564">
    <w:abstractNumId w:val="14"/>
  </w:num>
  <w:num w:numId="24" w16cid:durableId="1793210200">
    <w:abstractNumId w:val="10"/>
  </w:num>
  <w:num w:numId="25" w16cid:durableId="1773284094">
    <w:abstractNumId w:val="3"/>
  </w:num>
  <w:num w:numId="26" w16cid:durableId="1168179810">
    <w:abstractNumId w:val="23"/>
  </w:num>
  <w:num w:numId="27" w16cid:durableId="1137841495">
    <w:abstractNumId w:val="25"/>
  </w:num>
  <w:num w:numId="28" w16cid:durableId="1243761820">
    <w:abstractNumId w:val="30"/>
  </w:num>
  <w:num w:numId="29" w16cid:durableId="611933730">
    <w:abstractNumId w:val="16"/>
  </w:num>
  <w:num w:numId="30" w16cid:durableId="275602008">
    <w:abstractNumId w:val="20"/>
  </w:num>
  <w:num w:numId="31" w16cid:durableId="1614287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F6"/>
    <w:rsid w:val="00010003"/>
    <w:rsid w:val="00015174"/>
    <w:rsid w:val="00025B11"/>
    <w:rsid w:val="0005502A"/>
    <w:rsid w:val="00077E83"/>
    <w:rsid w:val="000A52B4"/>
    <w:rsid w:val="000E4557"/>
    <w:rsid w:val="000F3460"/>
    <w:rsid w:val="00106BBD"/>
    <w:rsid w:val="00113F25"/>
    <w:rsid w:val="00136716"/>
    <w:rsid w:val="0015289C"/>
    <w:rsid w:val="00163550"/>
    <w:rsid w:val="001A2019"/>
    <w:rsid w:val="001A7B27"/>
    <w:rsid w:val="001B2236"/>
    <w:rsid w:val="001D2736"/>
    <w:rsid w:val="001F3F0E"/>
    <w:rsid w:val="00205527"/>
    <w:rsid w:val="00223C5C"/>
    <w:rsid w:val="0024202D"/>
    <w:rsid w:val="002A5CF9"/>
    <w:rsid w:val="002C4708"/>
    <w:rsid w:val="002E7E2B"/>
    <w:rsid w:val="003120D1"/>
    <w:rsid w:val="0031444D"/>
    <w:rsid w:val="0033675C"/>
    <w:rsid w:val="0035004D"/>
    <w:rsid w:val="00351499"/>
    <w:rsid w:val="00365FDB"/>
    <w:rsid w:val="00390090"/>
    <w:rsid w:val="003937D0"/>
    <w:rsid w:val="003A7E77"/>
    <w:rsid w:val="003B0697"/>
    <w:rsid w:val="003C60F0"/>
    <w:rsid w:val="003D1D3A"/>
    <w:rsid w:val="00421873"/>
    <w:rsid w:val="00436FA0"/>
    <w:rsid w:val="00444943"/>
    <w:rsid w:val="00454A96"/>
    <w:rsid w:val="004602F2"/>
    <w:rsid w:val="00473328"/>
    <w:rsid w:val="004A79FA"/>
    <w:rsid w:val="004C794C"/>
    <w:rsid w:val="004D3904"/>
    <w:rsid w:val="004D63AD"/>
    <w:rsid w:val="004E437A"/>
    <w:rsid w:val="0050324F"/>
    <w:rsid w:val="0056751B"/>
    <w:rsid w:val="00591003"/>
    <w:rsid w:val="006447CB"/>
    <w:rsid w:val="0064589C"/>
    <w:rsid w:val="006A3A13"/>
    <w:rsid w:val="0070386A"/>
    <w:rsid w:val="00720DD3"/>
    <w:rsid w:val="0073416F"/>
    <w:rsid w:val="007452F1"/>
    <w:rsid w:val="00752FBB"/>
    <w:rsid w:val="007706C5"/>
    <w:rsid w:val="007C1AE5"/>
    <w:rsid w:val="008424B4"/>
    <w:rsid w:val="008431F0"/>
    <w:rsid w:val="00864FAC"/>
    <w:rsid w:val="0089445A"/>
    <w:rsid w:val="008A070E"/>
    <w:rsid w:val="008B5BA7"/>
    <w:rsid w:val="009338E5"/>
    <w:rsid w:val="00940F92"/>
    <w:rsid w:val="0096104F"/>
    <w:rsid w:val="00992112"/>
    <w:rsid w:val="00992E23"/>
    <w:rsid w:val="009A752F"/>
    <w:rsid w:val="009C7C58"/>
    <w:rsid w:val="00A00104"/>
    <w:rsid w:val="00A05CA1"/>
    <w:rsid w:val="00A07D98"/>
    <w:rsid w:val="00A12608"/>
    <w:rsid w:val="00A20521"/>
    <w:rsid w:val="00A35378"/>
    <w:rsid w:val="00A634F1"/>
    <w:rsid w:val="00A73D90"/>
    <w:rsid w:val="00A7482A"/>
    <w:rsid w:val="00A91432"/>
    <w:rsid w:val="00A92268"/>
    <w:rsid w:val="00A978B2"/>
    <w:rsid w:val="00AB7E69"/>
    <w:rsid w:val="00AC607E"/>
    <w:rsid w:val="00B17CE6"/>
    <w:rsid w:val="00B264F6"/>
    <w:rsid w:val="00B7166D"/>
    <w:rsid w:val="00BF2343"/>
    <w:rsid w:val="00C118DC"/>
    <w:rsid w:val="00C36D03"/>
    <w:rsid w:val="00C40DC7"/>
    <w:rsid w:val="00C670DF"/>
    <w:rsid w:val="00C8406A"/>
    <w:rsid w:val="00CC55D6"/>
    <w:rsid w:val="00CE0682"/>
    <w:rsid w:val="00CF1F0B"/>
    <w:rsid w:val="00CF6D64"/>
    <w:rsid w:val="00D16F9C"/>
    <w:rsid w:val="00D54F83"/>
    <w:rsid w:val="00D5506A"/>
    <w:rsid w:val="00D755FA"/>
    <w:rsid w:val="00DA671B"/>
    <w:rsid w:val="00DD776B"/>
    <w:rsid w:val="00E13DEF"/>
    <w:rsid w:val="00E4723B"/>
    <w:rsid w:val="00EA4D64"/>
    <w:rsid w:val="00EB5D1E"/>
    <w:rsid w:val="00EF603A"/>
    <w:rsid w:val="00F035FF"/>
    <w:rsid w:val="00F0668F"/>
    <w:rsid w:val="00FA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70593C"/>
  <w15:chartTrackingRefBased/>
  <w15:docId w15:val="{E6B4B1D8-F525-4DE2-BFAE-FF85B390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64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4F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Text1">
    <w:name w:val="Body Text1"/>
    <w:basedOn w:val="Normal"/>
    <w:rsid w:val="00B264F6"/>
    <w:pPr>
      <w:tabs>
        <w:tab w:val="left" w:pos="720"/>
        <w:tab w:val="left" w:pos="1440"/>
      </w:tabs>
    </w:pPr>
    <w:rPr>
      <w:rFonts w:ascii="CG Times (WN)" w:hAnsi="CG Times (WN)"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864FAC"/>
    <w:rPr>
      <w:b/>
      <w:bCs/>
    </w:rPr>
  </w:style>
  <w:style w:type="paragraph" w:styleId="NormalWeb">
    <w:name w:val="Normal (Web)"/>
    <w:basedOn w:val="Normal"/>
    <w:uiPriority w:val="99"/>
    <w:unhideWhenUsed/>
    <w:rsid w:val="00992112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1A7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22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236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5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0EA4A.2BD679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10356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Kazimierska</dc:creator>
  <cp:keywords/>
  <dc:description/>
  <cp:lastModifiedBy>Teleri James</cp:lastModifiedBy>
  <cp:revision>3</cp:revision>
  <dcterms:created xsi:type="dcterms:W3CDTF">2025-08-20T11:57:00Z</dcterms:created>
  <dcterms:modified xsi:type="dcterms:W3CDTF">2025-11-11T16:32:00Z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3da19fb1-1179-4d6e-bb58-bad9bf6816f3</vt:lpwstr>
  </property>
</Properties>
</file>